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rPr>
      </w:pPr>
      <w:r>
        <w:rPr>
          <w:rFonts w:hint="eastAsia"/>
        </w:rPr>
        <w:t>様式第</w:t>
      </w:r>
      <w:r>
        <w:rPr>
          <w:rFonts w:hint="eastAsia"/>
        </w:rPr>
        <w:t>30</w:t>
      </w:r>
      <w:r>
        <w:rPr>
          <w:rFonts w:hint="eastAsia"/>
        </w:rPr>
        <w:t>号（第</w:t>
      </w:r>
      <w:r>
        <w:rPr>
          <w:rFonts w:hint="eastAsia"/>
        </w:rPr>
        <w:t>63</w:t>
      </w:r>
      <w:r>
        <w:rPr>
          <w:rFonts w:hint="eastAsia"/>
        </w:rPr>
        <w:t>条関係）</w:t>
      </w:r>
    </w:p>
    <w:p>
      <w:pPr>
        <w:pStyle w:val="0"/>
        <w:topLinePunct w:val="1"/>
        <w:autoSpaceDE w:val="0"/>
        <w:autoSpaceDN w:val="0"/>
        <w:jc w:val="center"/>
        <w:rPr>
          <w:rFonts w:hint="eastAsia"/>
          <w:kern w:val="21"/>
        </w:rPr>
      </w:pPr>
      <w:r>
        <w:rPr>
          <w:rFonts w:hint="eastAsia"/>
          <w:dstrike w:val="1"/>
        </w:rPr>
        <mc:AlternateContent>
          <mc:Choice Requires="wps">
            <w:drawing>
              <wp:anchor simplePos="0" relativeHeight="3" behindDoc="0" locked="0" layoutInCell="1" hidden="0" allowOverlap="1">
                <wp:simplePos x="0" y="0"/>
                <wp:positionH relativeFrom="column">
                  <wp:posOffset>311150</wp:posOffset>
                </wp:positionH>
                <wp:positionV relativeFrom="paragraph">
                  <wp:posOffset>92710</wp:posOffset>
                </wp:positionV>
                <wp:extent cx="1057910" cy="520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57910" cy="520700"/>
                        </a:xfrm>
                        <a:prstGeom prst="rect">
                          <a:avLst/>
                        </a:prstGeom>
                        <a:noFill/>
                        <a:ln w="19050">
                          <a:solidFill>
                            <a:sysClr val="windowText" lastClr="000000"/>
                          </a:solidFill>
                          <a:miter/>
                        </a:ln>
                      </wps:spPr>
                      <wps:txbx>
                        <w:txbxContent>
                          <w:p>
                            <w:pPr>
                              <w:pStyle w:val="0"/>
                              <w:jc w:val="center"/>
                              <w:rPr>
                                <w:rFonts w:hint="default" w:ascii="ＭＳ ゴシック" w:hAnsi="ＭＳ ゴシック" w:eastAsia="ＭＳ ゴシック"/>
                                <w:b w:val="1"/>
                                <w:spacing w:val="-10"/>
                                <w:sz w:val="44"/>
                              </w:rPr>
                            </w:pPr>
                            <w:r>
                              <w:rPr>
                                <w:rFonts w:hint="eastAsia" w:ascii="ＭＳ ゴシック" w:hAnsi="ＭＳ ゴシック" w:eastAsia="ＭＳ ゴシック"/>
                                <w:b w:val="1"/>
                                <w:spacing w:val="-10"/>
                                <w:sz w:val="44"/>
                              </w:rPr>
                              <w:t>記載例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3pt;mso-position-vertical-relative:text;mso-position-horizontal-relative:text;position:absolute;height:41pt;width:83.3pt;margin-left:24.5pt;z-index:3;" o:spid="_x0000_s1026" o:allowincell="t" o:allowoverlap="t" filled="f" stroked="t" strokecolor="#000000" strokeweight="1.5pt" o:spt="202" type="#_x0000_t202">
                <v:fill/>
                <v:stroke filltype="solid"/>
                <v:textbox style="layout-flow:horizontal;">
                  <w:txbxContent>
                    <w:p>
                      <w:pPr>
                        <w:pStyle w:val="0"/>
                        <w:jc w:val="center"/>
                        <w:rPr>
                          <w:rFonts w:hint="default" w:ascii="ＭＳ ゴシック" w:hAnsi="ＭＳ ゴシック" w:eastAsia="ＭＳ ゴシック"/>
                          <w:b w:val="1"/>
                          <w:spacing w:val="-10"/>
                          <w:sz w:val="44"/>
                        </w:rPr>
                      </w:pPr>
                      <w:r>
                        <w:rPr>
                          <w:rFonts w:hint="eastAsia" w:ascii="ＭＳ ゴシック" w:hAnsi="ＭＳ ゴシック" w:eastAsia="ＭＳ ゴシック"/>
                          <w:b w:val="1"/>
                          <w:spacing w:val="-10"/>
                          <w:sz w:val="44"/>
                        </w:rPr>
                        <w:t>記載例</w:t>
                      </w:r>
                    </w:p>
                  </w:txbxContent>
                </v:textbox>
                <v:imagedata o:title=""/>
                <w10:wrap type="none" anchorx="text" anchory="text"/>
              </v:shape>
            </w:pict>
          </mc:Fallback>
        </mc:AlternateContent>
      </w:r>
      <w:r>
        <w:rPr>
          <w:rFonts w:hint="eastAsia"/>
          <w:dstrike w:val="1"/>
          <w:kern w:val="21"/>
        </w:rPr>
        <w:t>（特別管理）</w:t>
      </w:r>
      <w:r>
        <w:rPr>
          <w:rFonts w:hint="eastAsia"/>
          <w:kern w:val="21"/>
        </w:rPr>
        <w:t>産業廃棄物運搬実績報告書（</w:t>
      </w:r>
      <w:r>
        <w:rPr>
          <w:rFonts w:hint="eastAsia"/>
          <w:i w:val="1"/>
          <w:kern w:val="21"/>
        </w:rPr>
        <w:t>令和○○</w:t>
      </w:r>
      <w:r>
        <w:rPr>
          <w:rFonts w:hint="eastAsia"/>
          <w:kern w:val="21"/>
        </w:rPr>
        <w:t>年度）</w:t>
      </w:r>
      <w:bookmarkStart w:id="0" w:name="_GoBack"/>
      <w:bookmarkEnd w:id="0"/>
    </w:p>
    <w:p>
      <w:pPr>
        <w:pStyle w:val="0"/>
        <w:topLinePunct w:val="1"/>
        <w:autoSpaceDE w:val="0"/>
        <w:autoSpaceDN w:val="0"/>
        <w:jc w:val="center"/>
        <w:rPr>
          <w:rFonts w:hint="eastAsia"/>
          <w:kern w:val="21"/>
        </w:rPr>
      </w:pPr>
      <w:r>
        <w:rPr>
          <w:rFonts w:hint="eastAsia"/>
          <w:kern w:val="21"/>
        </w:rPr>
        <w:t>―収集運搬業―</w:t>
      </w:r>
    </w:p>
    <w:p>
      <w:pPr>
        <w:pStyle w:val="0"/>
        <w:topLinePunct w:val="1"/>
        <w:autoSpaceDE w:val="0"/>
        <w:autoSpaceDN w:val="0"/>
        <w:ind w:right="-223"/>
        <w:rPr>
          <w:rFonts w:hint="eastAsia"/>
        </w:rPr>
      </w:pPr>
      <w:r>
        <w:rPr>
          <w:rFonts w:hint="eastAsia"/>
        </w:rPr>
        <w:t>　　　　　　　　　　　　　　　　　　　　　　　　　　　　　　　　　　　　　　　　　　　　　　　　　　　　　　　　　　　　　　　　　</w:t>
      </w:r>
      <w:r>
        <w:rPr>
          <w:rFonts w:hint="eastAsia"/>
          <w:i w:val="1"/>
        </w:rPr>
        <w:t>令和○○</w:t>
      </w:r>
      <w:r>
        <w:rPr>
          <w:rFonts w:hint="eastAsia"/>
        </w:rPr>
        <w:t>年</w:t>
      </w:r>
      <w:r>
        <w:rPr>
          <w:rFonts w:hint="eastAsia"/>
        </w:rPr>
        <w:t xml:space="preserve"> </w:t>
      </w:r>
      <w:r>
        <w:rPr>
          <w:rFonts w:hint="eastAsia"/>
          <w:i w:val="1"/>
        </w:rPr>
        <w:t>○</w:t>
      </w:r>
      <w:r>
        <w:rPr>
          <w:rFonts w:hint="eastAsia"/>
        </w:rPr>
        <w:t xml:space="preserve"> </w:t>
      </w:r>
      <w:r>
        <w:rPr>
          <w:rFonts w:hint="eastAsia"/>
        </w:rPr>
        <w:t>月</w:t>
      </w:r>
      <w:r>
        <w:rPr>
          <w:rFonts w:hint="eastAsia"/>
          <w:i w:val="1"/>
        </w:rPr>
        <w:t>○○</w:t>
      </w:r>
      <w:r>
        <w:rPr>
          <w:rFonts w:hint="eastAsia"/>
        </w:rPr>
        <w:t>日</w:t>
      </w:r>
    </w:p>
    <w:p>
      <w:pPr>
        <w:pStyle w:val="0"/>
        <w:topLinePunct w:val="1"/>
        <w:autoSpaceDE w:val="0"/>
        <w:autoSpaceDN w:val="0"/>
        <w:ind w:right="36"/>
        <w:rPr>
          <w:rFonts w:hint="eastAsia"/>
        </w:rPr>
      </w:pPr>
    </w:p>
    <w:p>
      <w:pPr>
        <w:pStyle w:val="0"/>
        <w:topLinePunct w:val="1"/>
        <w:autoSpaceDE w:val="0"/>
        <w:autoSpaceDN w:val="0"/>
        <w:ind w:right="36"/>
        <w:rPr>
          <w:rFonts w:hint="eastAsia"/>
        </w:rPr>
      </w:pPr>
      <w:r>
        <w:rPr>
          <w:rFonts w:hint="eastAsia"/>
        </w:rPr>
        <w:t>　　　（宛先）長野市長</w:t>
      </w:r>
    </w:p>
    <w:p>
      <w:pPr>
        <w:pStyle w:val="0"/>
        <w:tabs>
          <w:tab w:val="left" w:leader="none" w:pos="4368"/>
        </w:tabs>
        <w:autoSpaceDE w:val="0"/>
        <w:autoSpaceDN w:val="0"/>
        <w:spacing w:line="400" w:lineRule="exact"/>
        <w:rPr>
          <w:rFonts w:hint="eastAsia"/>
        </w:rPr>
      </w:pPr>
      <w:r>
        <w:rPr>
          <w:rFonts w:hint="eastAsia"/>
        </w:rPr>
        <w:t>　　　　　　　　　　　　　　　　　　　　　　　　　　　　　　　　　　　　　　　　　　　　　　　　住　所　　　</w:t>
      </w:r>
      <w:r>
        <w:rPr>
          <w:rFonts w:hint="eastAsia" w:ascii="ＭＳ ゴシック" w:hAnsi="ＭＳ ゴシック" w:eastAsia="ＭＳ ゴシック"/>
          <w:b w:val="1"/>
          <w:i w:val="1"/>
        </w:rPr>
        <w:t>長野市大字○○１２３番地</w:t>
      </w:r>
    </w:p>
    <w:p>
      <w:pPr>
        <w:pStyle w:val="0"/>
        <w:tabs>
          <w:tab w:val="left" w:leader="none" w:pos="7952"/>
          <w:tab w:val="left" w:leader="none" w:pos="8064"/>
        </w:tabs>
        <w:autoSpaceDE w:val="0"/>
        <w:autoSpaceDN w:val="0"/>
        <w:spacing w:line="400" w:lineRule="exact"/>
        <w:ind w:right="12"/>
        <w:rPr>
          <w:rFonts w:hint="default"/>
        </w:rPr>
      </w:pPr>
      <w:r>
        <w:rPr>
          <w:rFonts w:hint="eastAsia"/>
        </w:rPr>
        <mc:AlternateContent>
          <mc:Choice Requires="wps">
            <w:drawing>
              <wp:anchor simplePos="0" relativeHeight="6" behindDoc="0" locked="0" layoutInCell="1" hidden="0" allowOverlap="1">
                <wp:simplePos x="0" y="0"/>
                <wp:positionH relativeFrom="column">
                  <wp:posOffset>124460</wp:posOffset>
                </wp:positionH>
                <wp:positionV relativeFrom="paragraph">
                  <wp:posOffset>24130</wp:posOffset>
                </wp:positionV>
                <wp:extent cx="2151380" cy="740410"/>
                <wp:effectExtent l="635" t="635" r="29845" b="154051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151380" cy="740410"/>
                        </a:xfrm>
                        <a:prstGeom prst="wedgeRoundRectCallout">
                          <a:avLst>
                            <a:gd name="adj1" fmla="val 9801"/>
                            <a:gd name="adj2" fmla="val 256431"/>
                            <a:gd name="adj3" fmla="val 16667"/>
                          </a:avLst>
                        </a:prstGeom>
                        <a:solidFill>
                          <a:srgbClr val="EAEAEA"/>
                        </a:solidFill>
                        <a:ln w="9525">
                          <a:solidFill>
                            <a:sysClr val="windowText" lastClr="000000"/>
                          </a:solidFill>
                          <a:miter/>
                        </a:ln>
                      </wps:spPr>
                      <wps:txbx>
                        <w:txbxContent>
                          <w:p>
                            <w:pPr>
                              <w:pStyle w:val="20"/>
                              <w:spacing w:line="240" w:lineRule="auto"/>
                              <w:rPr>
                                <w:rFonts w:hint="eastAsia" w:ascii="Century" w:hAnsi="Century" w:eastAsia="ＭＳ ゴシック"/>
                              </w:rPr>
                            </w:pPr>
                            <w:r>
                              <w:rPr>
                                <w:rFonts w:hint="eastAsia" w:ascii="Century" w:hAnsi="Century" w:eastAsia="ＭＳ ゴシック"/>
                              </w:rPr>
                              <w:t>廃棄物処理業者からの委託（再委託）又は、積替保管施設からの運搬は、許可番号を記載する。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9pt;mso-position-vertical-relative:text;mso-position-horizontal-relative:text;position:absolute;height:58.3pt;width:169.4pt;margin-left:9.8000000000000007pt;z-index:6;" o:spid="_x0000_s1027" o:allowincell="t" o:allowoverlap="t" filled="t" fillcolor="#eaeaea" stroked="t" strokecolor="#000000" strokeweight="0.75pt" o:spt="62" type="#_x0000_t62" adj="12917,66189">
                <v:fill/>
                <v:stroke filltype="solid"/>
                <v:textbox style="layout-flow:horizontal;">
                  <w:txbxContent>
                    <w:p>
                      <w:pPr>
                        <w:pStyle w:val="20"/>
                        <w:spacing w:line="240" w:lineRule="auto"/>
                        <w:rPr>
                          <w:rFonts w:hint="eastAsia" w:ascii="Century" w:hAnsi="Century" w:eastAsia="ＭＳ ゴシック"/>
                        </w:rPr>
                      </w:pPr>
                      <w:r>
                        <w:rPr>
                          <w:rFonts w:hint="eastAsia" w:ascii="Century" w:hAnsi="Century" w:eastAsia="ＭＳ ゴシック"/>
                        </w:rPr>
                        <w:t>廃棄物処理業者からの委託（再委託）又は、積替保管施設からの運搬は、許可番号を記載する。</w:t>
                      </w:r>
                    </w:p>
                  </w:txbxContent>
                </v:textbox>
                <v:imagedata o:title=""/>
                <w10:wrap type="none" anchorx="text" anchory="text"/>
              </v:shape>
            </w:pict>
          </mc:Fallback>
        </mc:AlternateContent>
      </w:r>
      <w:r>
        <w:rPr>
          <w:rFonts w:hint="eastAsia"/>
        </w:rPr>
        <mc:AlternateContent>
          <mc:Choice Requires="wps">
            <w:drawing>
              <wp:anchor simplePos="0" relativeHeight="7" behindDoc="0" locked="0" layoutInCell="1" hidden="0" allowOverlap="1">
                <wp:simplePos x="0" y="0"/>
                <wp:positionH relativeFrom="column">
                  <wp:posOffset>4169410</wp:posOffset>
                </wp:positionH>
                <wp:positionV relativeFrom="paragraph">
                  <wp:posOffset>24130</wp:posOffset>
                </wp:positionV>
                <wp:extent cx="1742440" cy="717550"/>
                <wp:effectExtent l="635" t="635" r="599440" b="171894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742440" cy="717550"/>
                        </a:xfrm>
                        <a:prstGeom prst="wedgeRoundRectCallout">
                          <a:avLst>
                            <a:gd name="adj1" fmla="val 82616"/>
                            <a:gd name="adj2" fmla="val 287787"/>
                            <a:gd name="adj3" fmla="val 16667"/>
                          </a:avLst>
                        </a:prstGeom>
                        <a:solidFill>
                          <a:srgbClr val="EAEAEA"/>
                        </a:solidFill>
                        <a:ln w="9525">
                          <a:solidFill>
                            <a:sysClr val="windowText" lastClr="000000"/>
                          </a:solidFill>
                          <a:miter/>
                        </a:ln>
                      </wps:spPr>
                      <wps:txbx>
                        <w:txbxContent>
                          <w:p>
                            <w:pPr>
                              <w:pStyle w:val="20"/>
                              <w:spacing w:line="240" w:lineRule="auto"/>
                              <w:rPr>
                                <w:rFonts w:hint="eastAsia" w:ascii="Century" w:hAnsi="Century" w:eastAsia="ＭＳ ゴシック"/>
                              </w:rPr>
                            </w:pPr>
                            <w:r>
                              <w:rPr>
                                <w:rFonts w:hint="eastAsia" w:ascii="Century" w:hAnsi="Century" w:eastAsia="ＭＳ ゴシック"/>
                              </w:rPr>
                              <w:t>最終処分、中間処理または積替保管別に運搬目的を記載する。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9pt;mso-position-vertical-relative:text;mso-position-horizontal-relative:text;position:absolute;height:56.5pt;width:137.19pt;margin-left:328.3pt;z-index:7;" o:spid="_x0000_s1028" o:allowincell="t" o:allowoverlap="t" filled="t" fillcolor="#eaeaea" stroked="t" strokecolor="#000000" strokeweight="0.75pt" o:spt="62" type="#_x0000_t62" adj="28645,72962">
                <v:fill/>
                <v:stroke filltype="solid"/>
                <v:textbox style="layout-flow:horizontal;">
                  <w:txbxContent>
                    <w:p>
                      <w:pPr>
                        <w:pStyle w:val="20"/>
                        <w:spacing w:line="240" w:lineRule="auto"/>
                        <w:rPr>
                          <w:rFonts w:hint="eastAsia" w:ascii="Century" w:hAnsi="Century" w:eastAsia="ＭＳ ゴシック"/>
                        </w:rPr>
                      </w:pPr>
                      <w:r>
                        <w:rPr>
                          <w:rFonts w:hint="eastAsia" w:ascii="Century" w:hAnsi="Century" w:eastAsia="ＭＳ ゴシック"/>
                        </w:rPr>
                        <w:t>最終処分、中間処理または積替保管別に運搬目的を記載する。</w:t>
                      </w:r>
                    </w:p>
                  </w:txbxContent>
                </v:textbox>
                <v:imagedata o:title=""/>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2364740</wp:posOffset>
                </wp:positionH>
                <wp:positionV relativeFrom="paragraph">
                  <wp:posOffset>209550</wp:posOffset>
                </wp:positionV>
                <wp:extent cx="1610360" cy="520700"/>
                <wp:effectExtent l="635" t="635" r="29845" b="72771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610360" cy="520700"/>
                        </a:xfrm>
                        <a:prstGeom prst="wedgeRoundRectCallout">
                          <a:avLst>
                            <a:gd name="adj1" fmla="val -32611"/>
                            <a:gd name="adj2" fmla="val 187560"/>
                            <a:gd name="adj3" fmla="val 16667"/>
                          </a:avLst>
                        </a:prstGeom>
                        <a:solidFill>
                          <a:srgbClr val="EAEAEA"/>
                        </a:solidFill>
                        <a:ln w="9525">
                          <a:solidFill>
                            <a:sysClr val="windowText" lastClr="000000"/>
                          </a:solidFill>
                          <a:miter/>
                        </a:ln>
                      </wps:spPr>
                      <wps:txbx>
                        <w:txbxContent>
                          <w:p>
                            <w:pPr>
                              <w:pStyle w:val="20"/>
                              <w:spacing w:line="240" w:lineRule="auto"/>
                              <w:rPr>
                                <w:rFonts w:hint="default" w:ascii="Century" w:hAnsi="Century" w:eastAsia="ＭＳ ゴシック"/>
                                <w:spacing w:val="-14"/>
                              </w:rPr>
                            </w:pPr>
                            <w:r>
                              <w:rPr>
                                <w:rFonts w:hint="eastAsia" w:ascii="Century" w:hAnsi="Century" w:eastAsia="ＭＳ ゴシック"/>
                                <w:spacing w:val="-14"/>
                              </w:rPr>
                              <w:t>産廃分と特別管理分は別々に作成すること。</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6.5pt;mso-position-vertical-relative:text;mso-position-horizontal-relative:text;position:absolute;height:41pt;width:126.8pt;margin-left:186.2pt;z-index:4;" o:spid="_x0000_s1029" o:allowincell="t" o:allowoverlap="t" filled="t" fillcolor="#eaeaea" stroked="t" strokecolor="#000000" strokeweight="0.75pt" o:spt="62" type="#_x0000_t62" adj="3756,51313">
                <v:fill/>
                <v:stroke filltype="solid"/>
                <v:textbox style="layout-flow:horizontal;">
                  <w:txbxContent>
                    <w:p>
                      <w:pPr>
                        <w:pStyle w:val="20"/>
                        <w:spacing w:line="240" w:lineRule="auto"/>
                        <w:rPr>
                          <w:rFonts w:hint="default" w:ascii="Century" w:hAnsi="Century" w:eastAsia="ＭＳ ゴシック"/>
                          <w:spacing w:val="-14"/>
                        </w:rPr>
                      </w:pPr>
                      <w:r>
                        <w:rPr>
                          <w:rFonts w:hint="eastAsia" w:ascii="Century" w:hAnsi="Century" w:eastAsia="ＭＳ ゴシック"/>
                          <w:spacing w:val="-14"/>
                        </w:rPr>
                        <w:t>産廃分と特別管理分は別々に作成すること。</w:t>
                      </w:r>
                    </w:p>
                  </w:txbxContent>
                </v:textbox>
                <v:imagedata o:title=""/>
                <w10:wrap type="none" anchorx="text" anchory="text"/>
              </v:shape>
            </w:pict>
          </mc:Fallback>
        </mc:AlternateContent>
      </w:r>
      <w:r>
        <w:rPr>
          <w:rFonts w:hint="eastAsia"/>
        </w:rPr>
        <w:t>　　　　　　　　　　　　　　　　　　　　　　　　　　　　　　　　　　　　　　　　　　　　　　　　氏　名　　　</w:t>
      </w:r>
      <w:r>
        <w:rPr>
          <w:rFonts w:hint="eastAsia" w:ascii="ＭＳ ゴシック" w:hAnsi="ＭＳ ゴシック" w:eastAsia="ＭＳ ゴシック"/>
          <w:b w:val="1"/>
          <w:i w:val="1"/>
        </w:rPr>
        <w:t>㈱ながの　代表取締役　×××</w:t>
      </w:r>
    </w:p>
    <w:p>
      <w:pPr>
        <w:pStyle w:val="0"/>
        <w:autoSpaceDE w:val="0"/>
        <w:autoSpaceDN w:val="0"/>
        <w:spacing w:line="400" w:lineRule="exact"/>
        <w:ind w:right="896"/>
        <w:rPr>
          <w:rFonts w:hint="default"/>
        </w:rPr>
      </w:pPr>
      <w:r>
        <w:rPr>
          <w:rFonts w:hint="eastAsia"/>
        </w:rPr>
        <mc:AlternateContent>
          <mc:Choice Requires="wps">
            <w:drawing>
              <wp:anchor simplePos="0" relativeHeight="2" behindDoc="0" locked="0" layoutInCell="1" hidden="0" allowOverlap="1">
                <wp:simplePos x="0" y="0"/>
                <wp:positionH relativeFrom="column">
                  <wp:posOffset>6409690</wp:posOffset>
                </wp:positionH>
                <wp:positionV relativeFrom="paragraph">
                  <wp:posOffset>233680</wp:posOffset>
                </wp:positionV>
                <wp:extent cx="2453640" cy="3975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453640" cy="397510"/>
                        </a:xfrm>
                        <a:prstGeom prst="bracketPair">
                          <a:avLst>
                            <a:gd name="adj" fmla="val 1660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8.39pt;mso-position-vertical-relative:text;mso-position-horizontal-relative:text;position:absolute;height:31.3pt;width:193.2pt;margin-left:504.7pt;z-index:2;" o:spid="_x0000_s1030" o:allowincell="t" o:allowoverlap="t" filled="f" stroked="t" strokecolor="#000000" strokeweight="0.75pt" o:spt="185" type="#_x0000_t185" adj="3586">
                <v:fill/>
                <v:stroke filltype="solid"/>
                <v:textbox style="layout-flow:horizontal;"/>
                <v:imagedata o:title=""/>
                <w10:wrap type="none" anchorx="text" anchory="text"/>
              </v:shape>
            </w:pict>
          </mc:Fallback>
        </mc:AlternateContent>
      </w:r>
      <w:r>
        <w:rPr>
          <w:rFonts w:hint="eastAsia"/>
        </w:rPr>
        <w:t>　　　　　　　　　　　　　　　　　　　　　　　　　　　　　　　　　　　　　　　　　　　　　　　　連絡先（電話）　</w:t>
      </w:r>
      <w:r>
        <w:rPr>
          <w:rFonts w:hint="eastAsia" w:eastAsia="ＭＳ ゴシック"/>
          <w:b w:val="1"/>
          <w:i w:val="1"/>
        </w:rPr>
        <w:t>０２６－</w:t>
      </w:r>
      <w:r>
        <w:rPr>
          <w:rFonts w:hint="eastAsia" w:ascii="ＭＳ ゴシック" w:hAnsi="ＭＳ ゴシック" w:eastAsia="ＭＳ ゴシック"/>
          <w:b w:val="1"/>
          <w:i w:val="1"/>
        </w:rPr>
        <w:t>×××</w:t>
      </w:r>
      <w:r>
        <w:rPr>
          <w:rFonts w:hint="eastAsia" w:eastAsia="ＭＳ ゴシック"/>
          <w:b w:val="1"/>
          <w:i w:val="1"/>
        </w:rPr>
        <w:t>－</w:t>
      </w:r>
      <w:r>
        <w:rPr>
          <w:rFonts w:hint="eastAsia" w:ascii="ＭＳ ゴシック" w:hAnsi="ＭＳ ゴシック" w:eastAsia="ＭＳ ゴシック"/>
          <w:b w:val="1"/>
          <w:i w:val="1"/>
        </w:rPr>
        <w:t>××××</w:t>
      </w:r>
    </w:p>
    <w:p>
      <w:pPr>
        <w:pStyle w:val="0"/>
        <w:autoSpaceDE w:val="0"/>
        <w:autoSpaceDN w:val="0"/>
        <w:jc w:val="left"/>
        <w:rPr>
          <w:rFonts w:hint="eastAsia"/>
        </w:rPr>
      </w:pPr>
      <w:r>
        <w:rPr>
          <w:rFonts w:hint="eastAsia"/>
        </w:rPr>
        <w:t>　　　　　　　　　　　　　　　　　　　　　　　　　　　　　　　　　　　　　　　　　　　　　　　　　　　　</w:t>
      </w:r>
      <w:r>
        <w:rPr>
          <w:rFonts w:hint="eastAsia"/>
        </w:rPr>
        <w:t xml:space="preserve"> </w:t>
      </w:r>
      <w:r>
        <w:rPr>
          <w:rFonts w:hint="eastAsia"/>
          <w:spacing w:val="7"/>
          <w:kern w:val="0"/>
          <w:fitText w:val="3360" w:id="1"/>
        </w:rPr>
        <w:t>法人にあっては、主たる事務所の</w:t>
      </w:r>
    </w:p>
    <w:p>
      <w:pPr>
        <w:pStyle w:val="0"/>
        <w:autoSpaceDE w:val="0"/>
        <w:autoSpaceDN w:val="0"/>
        <w:jc w:val="left"/>
        <w:rPr>
          <w:rFonts w:hint="eastAsia"/>
        </w:rPr>
      </w:pPr>
      <w:r>
        <w:rPr>
          <w:rFonts w:hint="eastAsia"/>
        </w:rPr>
        <w:t>　　　　　　　　　　　　　　　　　　　　　　　　　　　　　　　　　　　　　　　　　　　　　　　　　　　　</w:t>
      </w:r>
      <w:r>
        <w:rPr>
          <w:rFonts w:hint="eastAsia"/>
        </w:rPr>
        <w:t xml:space="preserve"> </w:t>
      </w: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jc w:val="left"/>
        <w:rPr>
          <w:rFonts w:hint="eastAsia"/>
        </w:rPr>
      </w:pPr>
    </w:p>
    <w:p>
      <w:pPr>
        <w:pStyle w:val="0"/>
        <w:autoSpaceDE w:val="0"/>
        <w:autoSpaceDN w:val="0"/>
        <w:jc w:val="left"/>
        <w:rPr>
          <w:rFonts w:hint="eastAsia"/>
        </w:rPr>
      </w:pPr>
      <w:r>
        <w:rPr>
          <w:rFonts w:hint="eastAsia"/>
        </w:rPr>
        <w:t>　</w:t>
      </w:r>
      <w:r>
        <w:rPr>
          <w:rFonts w:hint="eastAsia"/>
          <w:i w:val="1"/>
        </w:rPr>
        <w:t>令和</w:t>
      </w:r>
      <w:r>
        <w:rPr>
          <w:rFonts w:hint="eastAsia" w:ascii="ＭＳ ゴシック" w:hAnsi="ＭＳ ゴシック" w:eastAsia="ＭＳ ゴシック"/>
          <w:b w:val="1"/>
          <w:i w:val="1"/>
          <w:sz w:val="22"/>
        </w:rPr>
        <w:t>○○</w:t>
      </w:r>
      <w:r>
        <w:rPr>
          <w:rFonts w:hint="eastAsia"/>
        </w:rPr>
        <w:t>年度の</w:t>
      </w:r>
      <w:r>
        <w:rPr>
          <w:rFonts w:hint="eastAsia"/>
          <w:dstrike w:val="1"/>
        </w:rPr>
        <w:t>（特別管理）</w:t>
      </w:r>
      <w:r>
        <w:rPr>
          <w:rFonts w:hint="eastAsia"/>
        </w:rPr>
        <w:t>産業廃棄物の運搬実績について、長野市廃棄物の適正な処理の確保に関する条例第</w:t>
      </w:r>
      <w:r>
        <w:rPr>
          <w:rFonts w:hint="eastAsia"/>
        </w:rPr>
        <w:t>78</w:t>
      </w:r>
      <w:r>
        <w:rPr>
          <w:rFonts w:hint="eastAsia"/>
        </w:rPr>
        <w:t>条第１項の規定により報告します。</w:t>
      </w:r>
    </w:p>
    <w:tbl>
      <w:tblPr>
        <w:tblStyle w:val="11"/>
        <w:tblpPr w:leftFromText="142" w:rightFromText="142" w:topFromText="0" w:bottomFromText="0" w:vertAnchor="page" w:horzAnchor="margin" w:tblpXSpec="left" w:tblpY="5142"/>
        <w:tblW w:w="15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80"/>
        <w:gridCol w:w="1176"/>
        <w:gridCol w:w="1862"/>
        <w:gridCol w:w="980"/>
        <w:gridCol w:w="1372"/>
        <w:gridCol w:w="2156"/>
        <w:gridCol w:w="980"/>
        <w:gridCol w:w="1078"/>
        <w:gridCol w:w="1176"/>
        <w:gridCol w:w="1862"/>
        <w:gridCol w:w="980"/>
      </w:tblGrid>
      <w:tr>
        <w:trPr>
          <w:trHeight w:val="429" w:hRule="atLeast"/>
        </w:trPr>
        <w:tc>
          <w:tcPr>
            <w:tcW w:w="1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許可の種類</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eastAsia="ＭＳ ゴシック"/>
                <w:b w:val="1"/>
                <w:i w:val="1"/>
              </w:rPr>
              <w:t>産業廃棄物収集運搬業</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許可年月日</w:t>
            </w:r>
          </w:p>
        </w:tc>
        <w:tc>
          <w:tcPr>
            <w:tcW w:w="42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eastAsia="ＭＳ ゴシック"/>
                <w:b w:val="1"/>
                <w:i w:val="1"/>
              </w:rPr>
              <w:t>平成２０</w:t>
            </w:r>
            <w:r>
              <w:rPr>
                <w:rFonts w:hint="eastAsia"/>
              </w:rPr>
              <w:t>年</w:t>
            </w:r>
            <w:r>
              <w:rPr>
                <w:rFonts w:hint="eastAsia" w:eastAsia="ＭＳ ゴシック"/>
                <w:b w:val="1"/>
                <w:i w:val="1"/>
              </w:rPr>
              <w:t>××</w:t>
            </w:r>
            <w:r>
              <w:rPr>
                <w:rFonts w:hint="eastAsia"/>
              </w:rPr>
              <w:t>月</w:t>
            </w:r>
            <w:r>
              <w:rPr>
                <w:rFonts w:hint="eastAsia" w:eastAsia="ＭＳ ゴシック"/>
                <w:b w:val="1"/>
                <w:i w:val="1"/>
              </w:rPr>
              <w:t>××</w:t>
            </w:r>
            <w:r>
              <w:rPr>
                <w:rFonts w:hint="eastAsia"/>
              </w:rPr>
              <w:t>日</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2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eastAsia="ＭＳ ゴシック"/>
                <w:b w:val="1"/>
                <w:i w:val="1"/>
              </w:rPr>
              <w:t>９５０１－××××××</w:t>
            </w:r>
          </w:p>
        </w:tc>
      </w:tr>
      <w:tr>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産業廃棄物・</w:t>
            </w:r>
          </w:p>
          <w:p>
            <w:pPr>
              <w:pStyle w:val="0"/>
              <w:topLinePunct w:val="1"/>
              <w:autoSpaceDE w:val="0"/>
              <w:autoSpaceDN w:val="0"/>
              <w:jc w:val="center"/>
              <w:rPr>
                <w:rFonts w:hint="eastAsia"/>
              </w:rPr>
            </w:pPr>
            <w:r>
              <w:rPr>
                <w:rFonts w:hint="eastAsia"/>
              </w:rPr>
              <w:t>特別管理産業廃棄物の種類</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委託者（排出事業者又は収集運搬業者）</w:t>
            </w:r>
          </w:p>
        </w:tc>
        <w:tc>
          <w:tcPr>
            <w:tcW w:w="558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　　搬　　先</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運搬を再委託した者</w:t>
            </w:r>
          </w:p>
        </w:tc>
      </w:tr>
      <w:tr>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受託量（ｔ）</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運搬量（ｔ）</w:t>
            </w: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運搬目的</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引渡量（ｔ）</w:t>
            </w:r>
          </w:p>
        </w:tc>
      </w:tr>
      <w:tr>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収集した場所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運搬した場所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引渡しを受けた場所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sz w:val="20"/>
              </w:rPr>
            </w:pPr>
            <w:r>
              <w:rPr>
                <w:rFonts w:hint="eastAsia" w:ascii="ＭＳ ゴシック" w:hAnsi="ＭＳ ゴシック" w:eastAsia="ＭＳ ゴシック"/>
                <w:b w:val="1"/>
                <w:i w:val="1"/>
                <w:spacing w:val="0"/>
                <w:w w:val="79"/>
                <w:kern w:val="0"/>
                <w:sz w:val="20"/>
                <w:fitText w:val="1122" w:id="3"/>
              </w:rPr>
              <w:t>廃プラスチッ</w:t>
            </w:r>
            <w:r>
              <w:rPr>
                <w:rFonts w:hint="eastAsia" w:ascii="ＭＳ ゴシック" w:hAnsi="ＭＳ ゴシック" w:eastAsia="ＭＳ ゴシック"/>
                <w:b w:val="1"/>
                <w:i w:val="1"/>
                <w:spacing w:val="5"/>
                <w:w w:val="79"/>
                <w:kern w:val="0"/>
                <w:sz w:val="20"/>
                <w:fitText w:val="1122" w:id="3"/>
              </w:rPr>
              <w:t>ク</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1"/>
                <w:i w:val="1"/>
                <w:sz w:val="20"/>
              </w:rPr>
            </w:pPr>
            <w:r>
              <w:rPr>
                <w:rFonts w:hint="eastAsia" w:ascii="ＭＳ ゴシック" w:hAnsi="ＭＳ ゴシック" w:eastAsia="ＭＳ ゴシック"/>
                <w:b w:val="1"/>
                <w:i w:val="1"/>
                <w:sz w:val="20"/>
              </w:rPr>
              <w:t>9511034567</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sz w:val="20"/>
              </w:rPr>
            </w:pPr>
            <w:r>
              <w:rPr>
                <w:rFonts w:hint="eastAsia" w:ascii="ＭＳ ゴシック" w:hAnsi="ＭＳ ゴシック" w:eastAsia="ＭＳ ゴシック"/>
                <w:b w:val="1"/>
                <w:i w:val="1"/>
                <w:sz w:val="20"/>
              </w:rPr>
              <w:t>◎◎運輸◎◎倉庫</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sz w:val="24"/>
              </w:rPr>
            </w:pPr>
            <w:r>
              <w:rPr>
                <w:rFonts w:hint="eastAsia" w:ascii="ＭＳ ゴシック" w:hAnsi="ＭＳ ゴシック" w:eastAsia="ＭＳ ゴシック"/>
                <w:b w:val="1"/>
                <w:i w:val="1"/>
                <w:sz w:val="24"/>
              </w:rPr>
              <w:t>2.5t</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1"/>
                <w:i w:val="1"/>
              </w:rPr>
            </w:pPr>
            <w:r>
              <w:rPr>
                <w:rFonts w:hint="eastAsia" w:ascii="ＭＳ ゴシック" w:hAnsi="ＭＳ ゴシック" w:eastAsia="ＭＳ ゴシック"/>
                <w:b w:val="1"/>
                <w:i w:val="1"/>
              </w:rPr>
              <w:t>2036045678</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◎◎㈱◎◎処分場</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sz w:val="24"/>
              </w:rPr>
            </w:pPr>
            <w:r>
              <w:rPr>
                <w:rFonts w:hint="eastAsia" w:ascii="ＭＳ ゴシック" w:hAnsi="ＭＳ ゴシック" w:eastAsia="ＭＳ ゴシック"/>
                <w:b w:val="1"/>
                <w:i w:val="1"/>
                <w:sz w:val="24"/>
              </w:rPr>
              <w:t>2.5t</w:t>
            </w: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最終処分</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1"/>
                <w:i w:val="1"/>
                <w:sz w:val="20"/>
              </w:rPr>
            </w:pPr>
            <w:r>
              <w:rPr>
                <w:rFonts w:hint="eastAsia" w:ascii="ＭＳ ゴシック" w:hAnsi="ＭＳ ゴシック" w:eastAsia="ＭＳ ゴシック"/>
                <w:b w:val="1"/>
                <w:i w:val="1"/>
                <w:sz w:val="20"/>
              </w:rPr>
              <w:t>9511034567</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sz w:val="20"/>
              </w:rPr>
            </w:pPr>
            <w:r>
              <w:rPr>
                <w:rFonts w:hint="eastAsia" w:ascii="ＭＳ ゴシック" w:hAnsi="ＭＳ ゴシック" w:eastAsia="ＭＳ ゴシック"/>
                <w:b w:val="1"/>
                <w:i w:val="1"/>
                <w:sz w:val="20"/>
              </w:rPr>
              <w:t>◎◎運輸◎◎倉庫</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sz w:val="24"/>
              </w:rPr>
              <w:t>2.5t</w:t>
            </w: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長野市◎◎×△番地</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長野県◎◎市◎◎</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長野市◎◎×△番地</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廃酸</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sz w:val="20"/>
              </w:rPr>
            </w:pPr>
            <w:r>
              <w:rPr>
                <w:rFonts w:hint="eastAsia" w:ascii="ＭＳ ゴシック" w:hAnsi="ＭＳ ゴシック" w:eastAsia="ＭＳ ゴシック"/>
                <w:b w:val="1"/>
                <w:i w:val="1"/>
                <w:sz w:val="20"/>
              </w:rPr>
              <w:t>○○電気○○工場</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sz w:val="24"/>
              </w:rPr>
              <w:t>1.5t</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1"/>
                <w:i w:val="1"/>
              </w:rPr>
            </w:pPr>
            <w:r>
              <w:rPr>
                <w:rFonts w:hint="eastAsia" w:ascii="ＭＳ ゴシック" w:hAnsi="ＭＳ ゴシック" w:eastAsia="ＭＳ ゴシック"/>
                <w:b w:val="1"/>
                <w:i w:val="1"/>
              </w:rPr>
              <w:t>9521023456</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sz w:val="18"/>
              </w:rPr>
            </w:pPr>
            <w:r>
              <w:rPr>
                <w:rFonts w:hint="eastAsia" w:ascii="ＭＳ ゴシック" w:hAnsi="ＭＳ ゴシック" w:eastAsia="ＭＳ ゴシック"/>
                <w:b w:val="1"/>
                <w:i w:val="1"/>
                <w:sz w:val="18"/>
              </w:rPr>
              <w:t>○○リサイクルセンター</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sz w:val="24"/>
              </w:rPr>
              <w:t>1.5t</w:t>
            </w: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積替保管</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新潟県○○市○○××番地</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長野市○○</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有機汚泥</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△△食堂</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rPr>
              <w:t>0.2</w:t>
            </w:r>
            <w:r>
              <w:rPr>
                <w:rFonts w:hint="eastAsia" w:ascii="ＭＳ ゴシック" w:hAnsi="ＭＳ ゴシック" w:eastAsia="ＭＳ ゴシック"/>
                <w:b w:val="1"/>
                <w:i w:val="1"/>
              </w:rPr>
              <w:t>ｔ</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1"/>
                <w:i w:val="1"/>
              </w:rPr>
            </w:pPr>
            <w:r>
              <w:rPr>
                <w:rFonts w:hint="eastAsia" w:ascii="ＭＳ ゴシック" w:hAnsi="ＭＳ ゴシック" w:eastAsia="ＭＳ ゴシック"/>
                <w:b w:val="1"/>
                <w:i w:val="1"/>
              </w:rPr>
              <w:t>2026012345</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㈱△△有機センター</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rPr>
              <w:t>0.2</w:t>
            </w:r>
            <w:r>
              <w:rPr>
                <w:rFonts w:hint="eastAsia" w:ascii="ＭＳ ゴシック" w:hAnsi="ＭＳ ゴシック" w:eastAsia="ＭＳ ゴシック"/>
                <w:b w:val="1"/>
                <w:i w:val="1"/>
              </w:rPr>
              <w:t>ｔ</w:t>
            </w: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中間処理</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長野市△△○×番地</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r>
              <w:rPr>
                <w:rFonts w:hint="eastAsia" w:ascii="ＭＳ ゴシック" w:hAnsi="ＭＳ ゴシック" w:eastAsia="ＭＳ ゴシック"/>
                <w:b w:val="1"/>
                <w:i w:val="1"/>
              </w:rPr>
              <w:t>長野県△△市△△</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bl>
    <w:p>
      <w:pPr>
        <w:pStyle w:val="0"/>
        <w:topLinePunct w:val="1"/>
        <w:autoSpaceDE w:val="0"/>
        <w:autoSpaceDN w:val="0"/>
        <w:rPr>
          <w:rFonts w:hint="eastAsia"/>
        </w:rPr>
      </w:pPr>
      <w:r>
        <w:rPr>
          <w:rFonts w:hint="eastAsia"/>
        </w:rPr>
        <mc:AlternateContent>
          <mc:Choice Requires="wps">
            <w:drawing>
              <wp:anchor simplePos="0" relativeHeight="5" behindDoc="0" locked="0" layoutInCell="1" hidden="0" allowOverlap="1">
                <wp:simplePos x="0" y="0"/>
                <wp:positionH relativeFrom="column">
                  <wp:posOffset>560070</wp:posOffset>
                </wp:positionH>
                <wp:positionV relativeFrom="paragraph">
                  <wp:posOffset>2946400</wp:posOffset>
                </wp:positionV>
                <wp:extent cx="2246630" cy="937260"/>
                <wp:effectExtent l="635" t="433070"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246630" cy="937260"/>
                        </a:xfrm>
                        <a:prstGeom prst="wedgeRoundRectCallout">
                          <a:avLst>
                            <a:gd name="adj1" fmla="val -42565"/>
                            <a:gd name="adj2" fmla="val -96069"/>
                            <a:gd name="adj3" fmla="val 16667"/>
                          </a:avLst>
                        </a:prstGeom>
                        <a:solidFill>
                          <a:srgbClr val="EAEAEA"/>
                        </a:solidFill>
                        <a:ln w="9525">
                          <a:solidFill>
                            <a:sysClr val="windowText" lastClr="000000"/>
                          </a:solidFill>
                          <a:miter/>
                        </a:ln>
                      </wps:spPr>
                      <wps:txbx>
                        <w:txbxContent>
                          <w:p>
                            <w:pPr>
                              <w:pStyle w:val="20"/>
                              <w:spacing w:line="240" w:lineRule="auto"/>
                              <w:rPr>
                                <w:rFonts w:hint="eastAsia" w:ascii="Century" w:hAnsi="Century" w:eastAsia="ＭＳ ゴシック"/>
                              </w:rPr>
                            </w:pPr>
                            <w:r>
                              <w:rPr>
                                <w:rFonts w:hint="eastAsia" w:ascii="Century" w:hAnsi="Century" w:eastAsia="ＭＳ ゴシック"/>
                              </w:rPr>
                              <w:t>汚泥は有機・無機別に、特管廃油は引火性・特定有害別に、特管廃酸・廃アルカリは腐食性・特定有害別に区分する。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32pt;mso-position-vertical-relative:text;mso-position-horizontal-relative:text;position:absolute;height:73.8pt;width:176.9pt;margin-left:44.1pt;z-index:5;" o:spid="_x0000_s1031" o:allowincell="t" o:allowoverlap="t" filled="t" fillcolor="#eaeaea" stroked="t" strokecolor="#000000" strokeweight="0.75pt" o:spt="62" type="#_x0000_t62" adj="1606,-9951">
                <v:fill/>
                <v:stroke filltype="solid"/>
                <v:textbox style="layout-flow:horizontal;">
                  <w:txbxContent>
                    <w:p>
                      <w:pPr>
                        <w:pStyle w:val="20"/>
                        <w:spacing w:line="240" w:lineRule="auto"/>
                        <w:rPr>
                          <w:rFonts w:hint="eastAsia" w:ascii="Century" w:hAnsi="Century" w:eastAsia="ＭＳ ゴシック"/>
                        </w:rPr>
                      </w:pPr>
                      <w:r>
                        <w:rPr>
                          <w:rFonts w:hint="eastAsia" w:ascii="Century" w:hAnsi="Century" w:eastAsia="ＭＳ ゴシック"/>
                        </w:rPr>
                        <w:t>汚泥は有機・無機別に、特管廃油は引火性・特定有害別に、特管廃酸・廃アルカリは腐食性・特定有害別に区分する。</w:t>
                      </w:r>
                    </w:p>
                  </w:txbxContent>
                </v:textbox>
                <v:imagedata o:title=""/>
                <w10:wrap type="none" anchorx="text" anchory="text"/>
              </v:shape>
            </w:pict>
          </mc:Fallback>
        </mc:AlternateContent>
      </w:r>
      <w:r>
        <w:rPr>
          <w:rFonts w:hint="eastAsia"/>
        </w:rPr>
        <w:t>　備考</w:t>
      </w:r>
    </w:p>
    <w:p>
      <w:pPr>
        <w:pStyle w:val="0"/>
        <w:topLinePunct w:val="1"/>
        <w:autoSpaceDE w:val="0"/>
        <w:autoSpaceDN w:val="0"/>
        <w:rPr>
          <w:rFonts w:hint="eastAsia"/>
        </w:rPr>
      </w:pPr>
      <w:r>
        <w:rPr>
          <w:rFonts w:hint="eastAsia"/>
        </w:rPr>
        <w:t>　　１　翌年度の６月</w:t>
      </w:r>
      <w:r>
        <w:rPr>
          <w:rFonts w:hint="eastAsia"/>
        </w:rPr>
        <w:t>30</w:t>
      </w:r>
      <w:r>
        <w:rPr>
          <w:rFonts w:hint="eastAsia"/>
        </w:rPr>
        <w:t>日までに提出すること。</w:t>
      </w:r>
    </w:p>
    <w:p>
      <w:pPr>
        <w:pStyle w:val="0"/>
        <w:topLinePunct w:val="1"/>
        <w:autoSpaceDE w:val="0"/>
        <w:autoSpaceDN w:val="0"/>
        <w:rPr>
          <w:rFonts w:hint="eastAsia"/>
        </w:rPr>
      </w:pPr>
      <w:r>
        <w:rPr>
          <w:rFonts w:hint="eastAsia"/>
        </w:rPr>
        <mc:AlternateContent>
          <mc:Choice Requires="wps">
            <w:drawing>
              <wp:anchor simplePos="0" relativeHeight="8" behindDoc="0" locked="0" layoutInCell="1" hidden="0" allowOverlap="1">
                <wp:simplePos x="0" y="0"/>
                <wp:positionH relativeFrom="column">
                  <wp:posOffset>6658610</wp:posOffset>
                </wp:positionH>
                <wp:positionV relativeFrom="paragraph">
                  <wp:posOffset>37465</wp:posOffset>
                </wp:positionV>
                <wp:extent cx="2352040" cy="624840"/>
                <wp:effectExtent l="635" t="1487170"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352040" cy="624840"/>
                        </a:xfrm>
                        <a:prstGeom prst="wedgeRoundRectCallout">
                          <a:avLst>
                            <a:gd name="adj1" fmla="val -6292"/>
                            <a:gd name="adj2" fmla="val -287704"/>
                            <a:gd name="adj3" fmla="val 16667"/>
                          </a:avLst>
                        </a:prstGeom>
                        <a:solidFill>
                          <a:srgbClr val="EAEAEA"/>
                        </a:solidFill>
                        <a:ln w="9525">
                          <a:solidFill>
                            <a:sysClr val="windowText" lastClr="000000"/>
                          </a:solidFill>
                          <a:miter/>
                        </a:ln>
                      </wps:spPr>
                      <wps:txbx>
                        <w:txbxContent>
                          <w:p>
                            <w:pPr>
                              <w:pStyle w:val="20"/>
                              <w:spacing w:line="240" w:lineRule="auto"/>
                              <w:rPr>
                                <w:rFonts w:hint="eastAsia" w:ascii="Century" w:hAnsi="Century" w:eastAsia="ＭＳ ゴシック"/>
                              </w:rPr>
                            </w:pPr>
                            <w:r>
                              <w:rPr>
                                <w:rFonts w:hint="eastAsia" w:ascii="Century" w:hAnsi="Century" w:eastAsia="ＭＳ ゴシック"/>
                              </w:rPr>
                              <w:t>他の収集運搬業者からの再委託により収集運搬した場合に記載する。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95pt;mso-position-vertical-relative:text;mso-position-horizontal-relative:text;position:absolute;height:49.2pt;width:185.2pt;margin-left:524.29pt;z-index:8;" o:spid="_x0000_s1032" o:allowincell="t" o:allowoverlap="t" filled="t" fillcolor="#eaeaea" stroked="t" strokecolor="#000000" strokeweight="0.75pt" o:spt="62" type="#_x0000_t62" adj="9441,-51344">
                <v:fill/>
                <v:stroke filltype="solid"/>
                <v:textbox style="layout-flow:horizontal;">
                  <w:txbxContent>
                    <w:p>
                      <w:pPr>
                        <w:pStyle w:val="20"/>
                        <w:spacing w:line="240" w:lineRule="auto"/>
                        <w:rPr>
                          <w:rFonts w:hint="eastAsia" w:ascii="Century" w:hAnsi="Century" w:eastAsia="ＭＳ ゴシック"/>
                        </w:rPr>
                      </w:pPr>
                      <w:r>
                        <w:rPr>
                          <w:rFonts w:hint="eastAsia" w:ascii="Century" w:hAnsi="Century" w:eastAsia="ＭＳ ゴシック"/>
                        </w:rPr>
                        <w:t>他の収集運搬業者からの再委託により収集運搬した場合に記載する。</w:t>
                      </w:r>
                    </w:p>
                  </w:txbxContent>
                </v:textbox>
                <v:imagedata o:title=""/>
                <w10:wrap type="none" anchorx="text" anchory="text"/>
              </v:shape>
            </w:pict>
          </mc:Fallback>
        </mc:AlternateContent>
      </w:r>
      <w:r>
        <w:rPr>
          <w:rFonts w:hint="eastAsia"/>
        </w:rPr>
        <w:t>　　２　受託量、運搬量及び引渡量は、すべてトンに換算すること。</w:t>
      </w:r>
    </w:p>
    <w:p>
      <w:pPr>
        <w:pStyle w:val="0"/>
        <w:topLinePunct w:val="1"/>
        <w:autoSpaceDE w:val="0"/>
        <w:autoSpaceDN w:val="0"/>
        <w:rPr>
          <w:rFonts w:hint="eastAsia"/>
        </w:rPr>
      </w:pPr>
      <w:r>
        <w:rPr>
          <w:rFonts w:hint="eastAsia"/>
        </w:rPr>
        <w:t>　　３　委託者とは、報告者に運搬を委託した者をいい、排出事業者から委託を受ける場合と収集運搬業者から再委託を受ける場合があること。なお、再委託である場合</w:t>
      </w:r>
    </w:p>
    <w:p>
      <w:pPr>
        <w:pStyle w:val="0"/>
        <w:topLinePunct w:val="1"/>
        <w:autoSpaceDE w:val="0"/>
        <w:autoSpaceDN w:val="0"/>
        <w:rPr>
          <w:rFonts w:hint="eastAsia"/>
        </w:rPr>
      </w:pPr>
      <w:r>
        <w:rPr>
          <w:rFonts w:hint="eastAsia"/>
        </w:rPr>
        <w:t>　　　には</w:t>
      </w:r>
      <w:r>
        <w:rPr>
          <w:rFonts w:hint="eastAsia"/>
          <w:kern w:val="0"/>
        </w:rPr>
        <w:t>、「</w:t>
      </w:r>
      <w:r>
        <w:rPr>
          <w:rFonts w:hint="eastAsia"/>
        </w:rPr>
        <w:t>運搬を再委託した者」の欄に再委託者の許可番号等を記載すること。</w:t>
      </w:r>
    </w:p>
    <w:p>
      <w:pPr>
        <w:pStyle w:val="0"/>
        <w:topLinePunct w:val="1"/>
        <w:autoSpaceDE w:val="0"/>
        <w:autoSpaceDN w:val="0"/>
        <w:rPr>
          <w:rFonts w:hint="eastAsia"/>
        </w:rPr>
      </w:pPr>
      <w:r>
        <w:rPr>
          <w:rFonts w:hint="eastAsia"/>
        </w:rPr>
        <w:t>　　４　記載事項のすべてを記載できないときは、この様式の例により作成した書面に記載して、その書面を添付すること。</w:t>
      </w:r>
    </w:p>
    <w:sectPr>
      <w:footerReference r:id="rId5" w:type="even"/>
      <w:pgSz w:w="16838" w:h="11906" w:orient="landscape"/>
      <w:pgMar w:top="907" w:right="851" w:bottom="567" w:left="851" w:header="851" w:footer="567" w:gutter="0"/>
      <w:cols w:space="720"/>
      <w:textDirection w:val="lrTb"/>
      <w:docGrid w:type="linesAndChars" w:linePitch="292" w:charSpace="-28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oNotTrackMoves/>
  <w:defaultTabStop w:val="840"/>
  <w:drawingGridHorizontalSpacing w:val="98"/>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customStyle="1">
    <w:name w:val="一太郎８/９"/>
    <w:next w:val="18"/>
    <w:link w:val="0"/>
    <w:uiPriority w:val="0"/>
    <w:pPr>
      <w:widowControl w:val="0"/>
      <w:wordWrap w:val="0"/>
      <w:autoSpaceDE w:val="0"/>
      <w:autoSpaceDN w:val="0"/>
      <w:adjustRightInd w:val="0"/>
      <w:spacing w:line="404" w:lineRule="atLeast"/>
      <w:jc w:val="both"/>
    </w:pPr>
    <w:rPr>
      <w:rFonts w:ascii="ＭＳ 明朝" w:hAnsi="ＭＳ 明朝" w:eastAsia="ＭＳ ゴシック"/>
      <w:spacing w:val="-2"/>
    </w:rPr>
  </w:style>
  <w:style w:type="paragraph" w:styleId="19">
    <w:name w:val="Balloon Text"/>
    <w:basedOn w:val="0"/>
    <w:next w:val="19"/>
    <w:link w:val="0"/>
    <w:uiPriority w:val="0"/>
    <w:semiHidden/>
    <w:rPr>
      <w:rFonts w:ascii="Arial" w:hAnsi="Arial" w:eastAsia="ＭＳ ゴシック"/>
      <w:sz w:val="18"/>
    </w:rPr>
  </w:style>
  <w:style w:type="paragraph" w:styleId="20">
    <w:name w:val="Body Text 2"/>
    <w:basedOn w:val="0"/>
    <w:next w:val="20"/>
    <w:link w:val="0"/>
    <w:uiPriority w:val="0"/>
    <w:pPr>
      <w:spacing w:line="320" w:lineRule="exact"/>
    </w:pPr>
    <w:rPr>
      <w:sz w:val="20"/>
    </w:rPr>
  </w:style>
  <w:style w:type="paragraph" w:styleId="21">
    <w:name w:val="Body Text"/>
    <w:basedOn w:val="0"/>
    <w:next w:val="21"/>
    <w:link w:val="0"/>
    <w:uiPriority w:val="0"/>
    <w:rPr>
      <w:rFonts w:ascii="Century" w:hAnsi="Century"/>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23</Words>
  <Characters>806</Characters>
  <Application>JUST Note</Application>
  <Lines>488</Lines>
  <Paragraphs>73</Paragraphs>
  <Company>長野市役所</Company>
  <CharactersWithSpaces>1158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坂田　卓実</dc:creator>
  <cp:lastModifiedBy>坂田　卓実</cp:lastModifiedBy>
  <cp:lastPrinted>2012-05-28T05:07:00Z</cp:lastPrinted>
  <dcterms:created xsi:type="dcterms:W3CDTF">2021-04-08T01:45:00Z</dcterms:created>
  <dcterms:modified xsi:type="dcterms:W3CDTF">2021-04-08T01:55:43Z</dcterms:modified>
  <cp:revision>5</cp:revision>
</cp:coreProperties>
</file>