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opLinePunct w:val="1"/>
        <w:autoSpaceDE w:val="0"/>
        <w:autoSpaceDN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pacing w:val="39"/>
          <w:kern w:val="0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-208280</wp:posOffset>
                </wp:positionV>
                <wp:extent cx="928370" cy="520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8370" cy="520700"/>
                        </a:xfrm>
                        <a:prstGeom prst="rect"/>
                        <a:noFill/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16.39pt;mso-position-vertical-relative:text;mso-position-horizontal-relative:text;position:absolute;height:41pt;width:73.09pt;margin-left:0pt;z-index:2;" filled="f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  <w:t>記載例</w:t>
                      </w:r>
                    </w:p>
                  </w:txbxContent>
                </v:textbox>
                <v:imagedata o:title=""/>
                <o:lock v:ext="edit" text="f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napToGrid w:val="0"/>
          <w:spacing w:val="38"/>
          <w:kern w:val="0"/>
          <w:sz w:val="28"/>
          <w:fitText w:val="5292" w:id="1"/>
        </w:rPr>
        <w:t>産業廃棄物の処分実績施設別内</w:t>
      </w:r>
      <w:r>
        <w:rPr>
          <w:rFonts w:hint="eastAsia" w:ascii="ＭＳ ゴシック" w:hAnsi="ＭＳ ゴシック" w:eastAsia="ＭＳ ゴシック"/>
          <w:b w:val="1"/>
          <w:snapToGrid w:val="0"/>
          <w:spacing w:val="5"/>
          <w:kern w:val="0"/>
          <w:sz w:val="28"/>
          <w:fitText w:val="5292" w:id="1"/>
        </w:rPr>
        <w:t>訳</w:t>
      </w:r>
      <w:bookmarkStart w:id="0" w:name="_GoBack"/>
      <w:bookmarkEnd w:id="0"/>
    </w:p>
    <w:p>
      <w:pPr>
        <w:pStyle w:val="0"/>
        <w:topLinePunct w:val="1"/>
        <w:autoSpaceDE w:val="0"/>
        <w:autoSpaceDN w:val="0"/>
        <w:rPr>
          <w:rFonts w:hint="eastAsia" w:ascii="ＭＳ 明朝" w:hAnsi="ＭＳ 明朝"/>
          <w:w w:val="15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8"/>
        <w:gridCol w:w="448"/>
        <w:gridCol w:w="896"/>
        <w:gridCol w:w="672"/>
        <w:gridCol w:w="627"/>
        <w:gridCol w:w="1299"/>
        <w:gridCol w:w="986"/>
        <w:gridCol w:w="313"/>
        <w:gridCol w:w="1031"/>
        <w:gridCol w:w="268"/>
        <w:gridCol w:w="1300"/>
      </w:tblGrid>
      <w:tr>
        <w:trPr>
          <w:cantSplit/>
        </w:trPr>
        <w:tc>
          <w:tcPr>
            <w:tcW w:w="29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64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処理した産業廃棄物の種類及びそれぞれの年間処理量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</w:trPr>
        <w:tc>
          <w:tcPr>
            <w:tcW w:w="29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廃プラ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木くず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有機汚泥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がれき類</w:t>
            </w: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67" w:leftChars="-30" w:right="-51" w:rightChars="-23"/>
              <w:jc w:val="center"/>
              <w:rPr>
                <w:rFonts w:hint="eastAsia" w:eastAsia="ＭＳ ゴシック"/>
                <w:b w:val="1"/>
                <w:i w:val="1"/>
                <w:snapToGrid w:val="0"/>
                <w:spacing w:val="-10"/>
                <w:kern w:val="0"/>
              </w:rPr>
            </w:pPr>
            <w:r>
              <w:rPr>
                <w:rFonts w:hint="eastAsia" w:eastAsia="ＭＳ ゴシック"/>
                <w:b w:val="1"/>
                <w:i w:val="1"/>
                <w:snapToGrid w:val="0"/>
                <w:spacing w:val="-10"/>
                <w:kern w:val="0"/>
              </w:rPr>
              <w:t>廃プラの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eastAsia="ＭＳ ゴシック"/>
                <w:b w:val="1"/>
                <w:i w:val="1"/>
                <w:snapToGrid w:val="0"/>
                <w:spacing w:val="-10"/>
                <w:kern w:val="0"/>
              </w:rPr>
              <w:t>破砕施設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2" w:hanging="11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65" w:leftChars="-29" w:right="-45" w:rightChars="-2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,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150" w:leftChars="-67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,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４００ｔ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１００ｔ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2" w:hanging="11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３００ｔ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eastAsia="ＭＳ ゴシック"/>
                <w:b w:val="1"/>
                <w:i w:val="1"/>
                <w:snapToGrid w:val="0"/>
                <w:kern w:val="0"/>
              </w:rPr>
              <w:t>焼却施設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３００ｔ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８００ｔ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１５０ｔ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３５０ｔ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480" w:lineRule="exact"/>
              <w:jc w:val="center"/>
              <w:rPr>
                <w:rFonts w:hint="eastAsia" w:eastAsia="ＭＳ ゴシック"/>
                <w:b w:val="1"/>
                <w:i w:val="1"/>
                <w:snapToGrid w:val="0"/>
                <w:kern w:val="0"/>
              </w:rPr>
            </w:pPr>
            <w:r>
              <w:rPr>
                <w:rFonts w:hint="eastAsia" w:eastAsia="ＭＳ ゴシック"/>
                <w:b w:val="1"/>
                <w:i w:val="1"/>
                <w:snapToGrid w:val="0"/>
                <w:kern w:val="0"/>
              </w:rPr>
              <w:t>汚泥の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eastAsia="ＭＳ ゴシック"/>
                <w:b w:val="1"/>
                <w:i w:val="1"/>
                <w:snapToGrid w:val="0"/>
                <w:kern w:val="0"/>
              </w:rPr>
              <w:t>脱水施設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242570</wp:posOffset>
                      </wp:positionV>
                      <wp:extent cx="1352550" cy="619125"/>
                      <wp:effectExtent l="635" t="2372360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52550" cy="619125"/>
                              </a:xfrm>
                              <a:prstGeom prst="wedgeRoundRectCallout">
                                <a:avLst>
                                  <a:gd name="adj1" fmla="val -20611"/>
                                  <a:gd name="adj2" fmla="val -432769"/>
                                  <a:gd name="adj3" fmla="val 16667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1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処分した廃棄物の種類を記入する。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7" style="margin-top:19.100000000000001pt;mso-position-vertical-relative:text;mso-position-horizontal-relative:text;position:absolute;height:48.75pt;width:106.5pt;margin-left:51.05pt;z-index:3;" filled="t" fillcolor="#eaeaea" stroked="t" strokecolor="#000000" strokeweight="0.75pt" o:spt="62" type="#_x0000_t62" adj="6348,-82678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2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処分した廃棄物の種類を記入する。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48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30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65" w:leftChars="-29" w:right="-45" w:rightChars="-2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,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3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0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２５０ｔ</w:t>
            </w: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２００ｔ</w:t>
            </w: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</w:trPr>
        <w:tc>
          <w:tcPr>
            <w:tcW w:w="9408" w:type="dxa"/>
            <w:gridSpan w:val="11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29210</wp:posOffset>
                      </wp:positionV>
                      <wp:extent cx="2621280" cy="6667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21280" cy="666750"/>
                              </a:xfrm>
                              <a:prstGeom prst="wedgeEllipseCallout">
                                <a:avLst>
                                  <a:gd name="adj1" fmla="val 40297"/>
                                  <a:gd name="adj2" fmla="val 8237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sz w:val="20"/>
                                    </w:rPr>
                                    <w:t>処理した後の残さの処分先、方法を記載する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28" style="margin-top:2.29pt;mso-position-vertical-relative:text;mso-position-horizontal-relative:text;position:absolute;height:52.5pt;width:206.4pt;margin-left:-27.35pt;z-index:4;" o:allowincell="t" filled="t" fillcolor="#eaeaea" stroked="t" strokecolor="#000000" strokeweight="0.75pt" o:spt="63" type="#_x0000_t63" adj="21381,1296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0"/>
                              </w:rPr>
                              <w:t>処理した後の残さの処分先、方法を記載する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opLinePunct w:val="1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処理後の産業廃棄物の年間処分量</w:t>
            </w:r>
          </w:p>
        </w:tc>
      </w:tr>
      <w:tr>
        <w:trPr>
          <w:cantSplit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処理後の産業</w:t>
            </w:r>
          </w:p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4"/>
              </w:rPr>
              <w:t>(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-24"/>
              </w:rPr>
              <w:t>)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　先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4"/>
              </w:rPr>
              <w:t>(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-24"/>
              </w:rPr>
              <w:t>)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="ＭＳ ゴシック"/>
                <w:b w:val="1"/>
                <w:i w:val="1"/>
              </w:rPr>
              <w:t>廃プラ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３００ｔ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長野県△△村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㈱△△　　△△埋立地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安定型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最終処分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３００ｔ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有機汚泥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（脱水ケーキ）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５０ｔ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長野県○○町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㈲○○　　　○○工場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堆肥化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３０ｔ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長野県××市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××㈱　　　××工場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焼却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２０ｔ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燃え殻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１１０ｔ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長野県△△村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㈱△△　　△△埋立地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管理型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最終処分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１１０ｔ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破砕がれき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192" w:lineRule="auto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  <w:r>
              <w:rPr>
                <w:rFonts w:hint="eastAsia" w:eastAsia="ＭＳ ゴシック"/>
                <w:b w:val="1"/>
                <w:i w:val="1"/>
                <w:spacing w:val="-24"/>
              </w:rPr>
              <w:t>１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,</w:t>
            </w:r>
            <w:r>
              <w:rPr>
                <w:rFonts w:hint="eastAsia" w:eastAsia="ＭＳ ゴシック"/>
                <w:b w:val="1"/>
                <w:i w:val="1"/>
                <w:spacing w:val="-24"/>
              </w:rPr>
              <w:t>４００ｔ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192" w:lineRule="auto"/>
              <w:rPr>
                <w:rFonts w:hint="eastAsia" w:eastAsia="ＭＳ ゴシック"/>
                <w:b w:val="1"/>
                <w:i w:val="1"/>
                <w:sz w:val="20"/>
              </w:rPr>
            </w:pPr>
            <w:r>
              <w:rPr>
                <w:rFonts w:hint="eastAsia" w:eastAsia="ＭＳ ゴシック"/>
                <w:b w:val="1"/>
                <w:i w:val="1"/>
                <w:sz w:val="20"/>
              </w:rPr>
              <w:t>有価販売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opLinePunct w:val="1"/>
        <w:autoSpaceDE w:val="0"/>
        <w:autoSpaceDN w:val="0"/>
        <w:rPr>
          <w:rFonts w:hint="eastAsia"/>
        </w:rPr>
      </w:pPr>
      <w:r>
        <w:rPr>
          <w:rFonts w:hint="eastAsia"/>
        </w:rPr>
        <w:t>　注：処理した産業廃棄物の種類ごとに年間の処理量を記入すること。</w:t>
      </w:r>
    </w:p>
    <w:sectPr>
      <w:footerReference r:id="rId5" w:type="even"/>
      <w:footerReference r:id="rId6" w:type="default"/>
      <w:pgSz w:w="11906" w:h="16838"/>
      <w:pgMar w:top="1134" w:right="1134" w:bottom="1134" w:left="1418" w:header="851" w:footer="992" w:gutter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3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4"/>
  <w:drawingGridVerticalSpacing w:val="328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topLinePunct w:val="1"/>
      <w:autoSpaceDE w:val="0"/>
      <w:autoSpaceDN w:val="0"/>
      <w:ind w:left="223" w:hanging="223"/>
    </w:pPr>
    <w:rPr>
      <w:rFonts w:ascii="ＭＳ 明朝" w:hAnsi="ＭＳ 明朝"/>
    </w:rPr>
  </w:style>
  <w:style w:type="paragraph" w:styleId="18">
    <w:name w:val="Body Text Indent 2"/>
    <w:basedOn w:val="0"/>
    <w:next w:val="18"/>
    <w:link w:val="0"/>
    <w:uiPriority w:val="0"/>
    <w:pPr>
      <w:topLinePunct w:val="1"/>
      <w:autoSpaceDE w:val="0"/>
      <w:autoSpaceDN w:val="0"/>
      <w:spacing w:line="360" w:lineRule="exact"/>
      <w:ind w:left="-79"/>
      <w:jc w:val="distribute"/>
    </w:pPr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 Indent 3"/>
    <w:basedOn w:val="0"/>
    <w:next w:val="20"/>
    <w:link w:val="0"/>
    <w:uiPriority w:val="0"/>
    <w:pPr>
      <w:topLinePunct w:val="1"/>
      <w:autoSpaceDE w:val="0"/>
      <w:autoSpaceDN w:val="0"/>
      <w:ind w:left="895" w:leftChars="100" w:hanging="671" w:hangingChars="300"/>
    </w:pPr>
  </w:style>
  <w:style w:type="paragraph" w:styleId="21">
    <w:name w:val="Body Text"/>
    <w:basedOn w:val="0"/>
    <w:next w:val="21"/>
    <w:link w:val="0"/>
    <w:uiPriority w:val="0"/>
    <w:rPr>
      <w:rFonts w:eastAsia="ＭＳ ゴシック"/>
      <w:spacing w:val="-1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97</Words>
  <Characters>558</Characters>
  <Application>JUST Note</Application>
  <Lines>4</Lines>
  <Paragraphs>1</Paragraphs>
  <Company> </Company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長野市廃棄物の処理及び清掃に関する条例の一部を改正する条例（案）</dc:title>
  <dc:creator>坂田　卓実</dc:creator>
  <cp:lastModifiedBy>坂田　卓実</cp:lastModifiedBy>
  <cp:lastPrinted>2002-05-20T07:52:00Z</cp:lastPrinted>
  <dcterms:created xsi:type="dcterms:W3CDTF">2021-04-08T02:13:00Z</dcterms:created>
  <dcterms:modified xsi:type="dcterms:W3CDTF">2021-04-08T02:14:15Z</dcterms:modified>
  <cp:revision>7</cp:revision>
</cp:coreProperties>
</file>