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w:t>
      </w:r>
      <w:r>
        <w:rPr>
          <w:rFonts w:hint="eastAsia"/>
        </w:rPr>
        <w:t>32</w:t>
      </w:r>
      <w:r>
        <w:rPr>
          <w:rFonts w:hint="eastAsia"/>
        </w:rPr>
        <w:t>号（第</w:t>
      </w:r>
      <w:r>
        <w:rPr>
          <w:rFonts w:hint="eastAsia"/>
        </w:rPr>
        <w:t>63</w:t>
      </w:r>
      <w:r>
        <w:rPr>
          <w:rFonts w:hint="eastAsia"/>
        </w:rPr>
        <w:t>条関係）</w:t>
      </w:r>
    </w:p>
    <w:p>
      <w:pPr>
        <w:pStyle w:val="0"/>
        <w:topLinePunct w:val="1"/>
        <w:autoSpaceDE w:val="0"/>
        <w:autoSpaceDN w:val="0"/>
        <w:jc w:val="center"/>
        <w:rPr>
          <w:rFonts w:hint="eastAsia"/>
        </w:rPr>
      </w:pPr>
      <w:r>
        <w:rPr>
          <w:rFonts w:hint="eastAsia"/>
        </w:rPr>
        <mc:AlternateContent>
          <mc:Choice Requires="wps">
            <w:drawing>
              <wp:anchor simplePos="0" relativeHeight="3" behindDoc="0" locked="0" layoutInCell="1" hidden="0" allowOverlap="1">
                <wp:simplePos x="0" y="0"/>
                <wp:positionH relativeFrom="column">
                  <wp:posOffset>500380</wp:posOffset>
                </wp:positionH>
                <wp:positionV relativeFrom="paragraph">
                  <wp:posOffset>95250</wp:posOffset>
                </wp:positionV>
                <wp:extent cx="1000760" cy="425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00760" cy="425450"/>
                        </a:xfrm>
                        <a:prstGeom prst="rect">
                          <a:avLst/>
                        </a:prstGeom>
                        <a:noFill/>
                        <a:ln w="19050">
                          <a:solidFill>
                            <a:sysClr val="windowText" lastClr="000000"/>
                          </a:solidFill>
                          <a:miter/>
                        </a:ln>
                      </wps:spPr>
                      <wps:txbx>
                        <w:txbxContent>
                          <w:p>
                            <w:pPr>
                              <w:pStyle w:val="0"/>
                              <w:jc w:val="center"/>
                              <w:rPr>
                                <w:rFonts w:hint="eastAsia" w:ascii="ＭＳ ゴシック" w:hAnsi="ＭＳ ゴシック" w:eastAsia="ＭＳ ゴシック"/>
                                <w:b w:val="1"/>
                                <w:spacing w:val="-10"/>
                                <w:sz w:val="36"/>
                              </w:rPr>
                            </w:pPr>
                            <w:r>
                              <w:rPr>
                                <w:rFonts w:hint="eastAsia" w:ascii="ＭＳ ゴシック" w:hAnsi="ＭＳ ゴシック" w:eastAsia="ＭＳ ゴシック"/>
                                <w:b w:val="1"/>
                                <w:spacing w:val="-10"/>
                                <w:sz w:val="36"/>
                              </w:rPr>
                              <w:t>記載例</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5pt;mso-position-vertical-relative:text;mso-position-horizontal-relative:text;position:absolute;height:33.5pt;width:78.8pt;margin-left:39.4pt;z-index:3;" o:spid="_x0000_s1026" o:allowincell="t" o:allowoverlap="t" filled="f" stroked="t" strokecolor="#000000" strokeweight="1.5pt" o:spt="202" type="#_x0000_t202">
                <v:fill/>
                <v:stroke filltype="solid"/>
                <v:textbox style="layout-flow:horizontal;">
                  <w:txbxContent>
                    <w:p>
                      <w:pPr>
                        <w:pStyle w:val="0"/>
                        <w:jc w:val="center"/>
                        <w:rPr>
                          <w:rFonts w:hint="eastAsia" w:ascii="ＭＳ ゴシック" w:hAnsi="ＭＳ ゴシック" w:eastAsia="ＭＳ ゴシック"/>
                          <w:b w:val="1"/>
                          <w:spacing w:val="-10"/>
                          <w:sz w:val="36"/>
                        </w:rPr>
                      </w:pPr>
                      <w:r>
                        <w:rPr>
                          <w:rFonts w:hint="eastAsia" w:ascii="ＭＳ ゴシック" w:hAnsi="ＭＳ ゴシック" w:eastAsia="ＭＳ ゴシック"/>
                          <w:b w:val="1"/>
                          <w:spacing w:val="-10"/>
                          <w:sz w:val="36"/>
                        </w:rPr>
                        <w:t>記載例</w:t>
                      </w:r>
                    </w:p>
                  </w:txbxContent>
                </v:textbox>
                <v:imagedata o:title=""/>
                <w10:wrap type="none" anchorx="text" anchory="text"/>
              </v:shape>
            </w:pict>
          </mc:Fallback>
        </mc:AlternateContent>
      </w:r>
      <w:r>
        <w:rPr>
          <w:rFonts w:hint="eastAsia"/>
        </w:rPr>
        <w:t>（特別管理）産業廃棄物処分実績及び施設状況報告書（</w:t>
      </w:r>
      <w:r>
        <w:rPr>
          <w:rFonts w:hint="eastAsia"/>
          <w:i w:val="1"/>
        </w:rPr>
        <w:t>令和○○</w:t>
      </w:r>
      <w:r>
        <w:rPr>
          <w:rFonts w:hint="eastAsia"/>
        </w:rPr>
        <w:t>年度実績）</w:t>
      </w:r>
      <w:bookmarkStart w:id="0" w:name="_GoBack"/>
      <w:bookmarkEnd w:id="0"/>
    </w:p>
    <w:p>
      <w:pPr>
        <w:pStyle w:val="0"/>
        <w:topLinePunct w:val="1"/>
        <w:autoSpaceDE w:val="0"/>
        <w:autoSpaceDN w:val="0"/>
        <w:ind w:right="-223"/>
        <w:rPr>
          <w:rFonts w:hint="eastAsia"/>
        </w:rPr>
      </w:pPr>
      <w:r>
        <w:rPr>
          <w:rFonts w:hint="eastAsia"/>
        </w:rPr>
        <mc:AlternateContent>
          <mc:Choice Requires="wps">
            <w:drawing>
              <wp:anchor simplePos="0" relativeHeight="4" behindDoc="0" locked="0" layoutInCell="1" hidden="0" allowOverlap="1">
                <wp:simplePos x="0" y="0"/>
                <wp:positionH relativeFrom="column">
                  <wp:posOffset>2501900</wp:posOffset>
                </wp:positionH>
                <wp:positionV relativeFrom="paragraph">
                  <wp:posOffset>0</wp:posOffset>
                </wp:positionV>
                <wp:extent cx="3252470" cy="1238250"/>
                <wp:effectExtent l="635" t="635" r="29845" b="825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3252470" cy="1238250"/>
                        </a:xfrm>
                        <a:prstGeom prst="wedgeEllipseCallout">
                          <a:avLst>
                            <a:gd name="adj1" fmla="val 3075"/>
                            <a:gd name="adj2" fmla="val 32365"/>
                          </a:avLst>
                        </a:prstGeom>
                        <a:solidFill>
                          <a:srgbClr val="EAEAEA"/>
                        </a:solidFill>
                        <a:ln w="9525">
                          <a:solidFill>
                            <a:sysClr val="windowText" lastClr="000000"/>
                          </a:solidFill>
                          <a:miter/>
                        </a:ln>
                      </wps:spPr>
                      <wps:txbx>
                        <w:txbxContent>
                          <w:p>
                            <w:pPr>
                              <w:pStyle w:val="0"/>
                              <w:rPr>
                                <w:rFonts w:hint="eastAsia" w:eastAsia="ＭＳ ゴシック"/>
                                <w:sz w:val="20"/>
                              </w:rPr>
                            </w:pPr>
                            <w:r>
                              <w:rPr>
                                <w:rFonts w:hint="eastAsia" w:eastAsia="ＭＳ ゴシック"/>
                                <w:sz w:val="20"/>
                              </w:rPr>
                              <w:t>この報告書は、自社処理分の産業廃棄物処理施設の実績を報告するものです。</w:t>
                            </w:r>
                          </w:p>
                          <w:p>
                            <w:pPr>
                              <w:pStyle w:val="0"/>
                              <w:rPr>
                                <w:rFonts w:hint="eastAsia" w:eastAsia="ＭＳ ゴシック"/>
                                <w:sz w:val="20"/>
                              </w:rPr>
                            </w:pPr>
                            <w:r>
                              <w:rPr>
                                <w:rFonts w:hint="eastAsia" w:eastAsia="ＭＳ ゴシック"/>
                                <w:sz w:val="20"/>
                              </w:rPr>
                              <w:t>他社からの受託分は処分の報告様式になります。</w:t>
                            </w:r>
                          </w:p>
                          <w:p>
                            <w:pPr>
                              <w:pStyle w:val="0"/>
                              <w:rPr>
                                <w:rFonts w:hint="default"/>
                              </w:rPr>
                            </w:pPr>
                          </w:p>
                        </w:txbxContent>
                      </wps:txbx>
                      <wps:bodyPr vertOverflow="overflow" horzOverflow="overflow"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argin-top:0pt;mso-position-vertical-relative:text;mso-position-horizontal-relative:text;position:absolute;height:97.5pt;width:256.10000000000002pt;margin-left:197pt;z-index:4;" o:spid="_x0000_s1027" o:allowincell="t" o:allowoverlap="t" filled="t" fillcolor="#eaeaea" stroked="t" strokecolor="#000000" strokeweight="0.75pt" o:spt="63" type="#_x0000_t63" adj="11822,21552">
                <v:fill/>
                <v:stroke filltype="solid"/>
                <v:textbox style="layout-flow:horizontal;">
                  <w:txbxContent>
                    <w:p>
                      <w:pPr>
                        <w:pStyle w:val="0"/>
                        <w:rPr>
                          <w:rFonts w:hint="eastAsia" w:eastAsia="ＭＳ ゴシック"/>
                          <w:sz w:val="20"/>
                        </w:rPr>
                      </w:pPr>
                      <w:r>
                        <w:rPr>
                          <w:rFonts w:hint="eastAsia" w:eastAsia="ＭＳ ゴシック"/>
                          <w:sz w:val="20"/>
                        </w:rPr>
                        <w:t>この報告書は、自社処理分の産業廃棄物処理施設の実績を報告するものです。</w:t>
                      </w:r>
                    </w:p>
                    <w:p>
                      <w:pPr>
                        <w:pStyle w:val="0"/>
                        <w:rPr>
                          <w:rFonts w:hint="eastAsia" w:eastAsia="ＭＳ ゴシック"/>
                          <w:sz w:val="20"/>
                        </w:rPr>
                      </w:pPr>
                      <w:r>
                        <w:rPr>
                          <w:rFonts w:hint="eastAsia" w:eastAsia="ＭＳ ゴシック"/>
                          <w:sz w:val="20"/>
                        </w:rPr>
                        <w:t>他社からの受託分は処分の報告様式になります。</w:t>
                      </w:r>
                    </w:p>
                    <w:p>
                      <w:pPr>
                        <w:pStyle w:val="0"/>
                        <w:rPr>
                          <w:rFonts w:hint="default"/>
                        </w:rPr>
                      </w:pPr>
                    </w:p>
                  </w:txbxContent>
                </v:textbox>
                <v:imagedata o:title=""/>
                <w10:wrap type="none" anchorx="text" anchory="text"/>
              </v:shape>
            </w:pict>
          </mc:Fallback>
        </mc:AlternateContent>
      </w:r>
      <w:r>
        <w:rPr>
          <w:rFonts w:hint="eastAsia"/>
        </w:rPr>
        <w:t>　　　　　　　　　　　　　　　　　　　　　　　　　　　　　　　　　　　　　　　　　　　　　　　　　　　　　　　　　　　　　　　　　</w:t>
      </w:r>
      <w:r>
        <w:rPr>
          <w:rFonts w:hint="eastAsia"/>
          <w:i w:val="1"/>
        </w:rPr>
        <w:t>令和</w:t>
      </w:r>
      <w:r>
        <w:rPr>
          <w:rFonts w:hint="eastAsia" w:ascii="ＭＳ ゴシック" w:hAnsi="ＭＳ ゴシック" w:eastAsia="ＭＳ ゴシック"/>
          <w:b w:val="1"/>
          <w:i w:val="1"/>
        </w:rPr>
        <w:t>○○</w:t>
      </w:r>
      <w:r>
        <w:rPr>
          <w:rFonts w:hint="eastAsia"/>
        </w:rPr>
        <w:t>年</w:t>
      </w:r>
      <w:r>
        <w:rPr>
          <w:rFonts w:hint="eastAsia" w:ascii="ＭＳ ゴシック" w:hAnsi="ＭＳ ゴシック" w:eastAsia="ＭＳ ゴシック"/>
          <w:b w:val="1"/>
          <w:i w:val="1"/>
        </w:rPr>
        <w:t>　○</w:t>
      </w:r>
      <w:r>
        <w:rPr>
          <w:rFonts w:hint="eastAsia"/>
        </w:rPr>
        <w:t>月</w:t>
      </w:r>
      <w:r>
        <w:rPr>
          <w:rFonts w:hint="eastAsia" w:ascii="ＭＳ ゴシック" w:hAnsi="ＭＳ ゴシック" w:eastAsia="ＭＳ ゴシック"/>
          <w:b w:val="1"/>
          <w:i w:val="1"/>
        </w:rPr>
        <w:t>○○</w:t>
      </w:r>
      <w:r>
        <w:rPr>
          <w:rFonts w:hint="eastAsia"/>
        </w:rPr>
        <w:t>日</w:t>
      </w:r>
    </w:p>
    <w:p>
      <w:pPr>
        <w:pStyle w:val="0"/>
        <w:topLinePunct w:val="1"/>
        <w:autoSpaceDE w:val="0"/>
        <w:autoSpaceDN w:val="0"/>
        <w:ind w:right="36"/>
        <w:rPr>
          <w:rFonts w:hint="eastAsia"/>
        </w:rPr>
      </w:pPr>
    </w:p>
    <w:p>
      <w:pPr>
        <w:pStyle w:val="0"/>
        <w:topLinePunct w:val="1"/>
        <w:autoSpaceDE w:val="0"/>
        <w:autoSpaceDN w:val="0"/>
        <w:ind w:right="36"/>
        <w:rPr>
          <w:rFonts w:hint="eastAsia"/>
        </w:rPr>
      </w:pPr>
      <w:r>
        <w:rPr>
          <w:rFonts w:hint="eastAsia"/>
        </w:rPr>
        <w:t>　　　（宛先）長野市長</w:t>
      </w:r>
    </w:p>
    <w:p>
      <w:pPr>
        <w:pStyle w:val="0"/>
        <w:topLinePunct w:val="1"/>
        <w:autoSpaceDE w:val="0"/>
        <w:autoSpaceDN w:val="0"/>
        <w:ind w:right="36"/>
        <w:rPr>
          <w:rFonts w:hint="eastAsia"/>
        </w:rPr>
      </w:pPr>
      <w:r>
        <w:rPr>
          <w:rFonts w:hint="eastAsia"/>
        </w:rPr>
        <w:t>　　　　　　　　　　　　　　　　　　　　　　　　　　　　　　　　　　　　　　　　　　　　　　　　住　所　　</w:t>
      </w:r>
      <w:r>
        <w:rPr>
          <w:rFonts w:hint="eastAsia" w:ascii="ＭＳ ゴシック" w:hAnsi="ＭＳ ゴシック" w:eastAsia="ＭＳ ゴシック"/>
          <w:b w:val="1"/>
          <w:i w:val="1"/>
        </w:rPr>
        <w:t>長野市大字○○１２３番地</w:t>
      </w:r>
    </w:p>
    <w:p>
      <w:pPr>
        <w:pStyle w:val="0"/>
        <w:tabs>
          <w:tab w:val="left" w:leader="none" w:pos="7952"/>
          <w:tab w:val="left" w:leader="none" w:pos="8064"/>
        </w:tabs>
        <w:autoSpaceDE w:val="0"/>
        <w:autoSpaceDN w:val="0"/>
        <w:spacing w:line="400" w:lineRule="exact"/>
        <w:ind w:right="12"/>
        <w:rPr>
          <w:rFonts w:hint="default"/>
        </w:rPr>
      </w:pPr>
      <w:r>
        <w:rPr>
          <w:rFonts w:hint="eastAsia"/>
        </w:rPr>
        <mc:AlternateContent>
          <mc:Choice Requires="wps">
            <w:drawing>
              <wp:anchor simplePos="0" relativeHeight="5" behindDoc="0" locked="0" layoutInCell="1" hidden="0" allowOverlap="1">
                <wp:simplePos x="0" y="0"/>
                <wp:positionH relativeFrom="column">
                  <wp:posOffset>125095</wp:posOffset>
                </wp:positionH>
                <wp:positionV relativeFrom="paragraph">
                  <wp:posOffset>190500</wp:posOffset>
                </wp:positionV>
                <wp:extent cx="1323340" cy="590550"/>
                <wp:effectExtent l="635" t="635" r="29845" b="152717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323340" cy="590550"/>
                        </a:xfrm>
                        <a:prstGeom prst="wedgeRoundRectCallout">
                          <a:avLst>
                            <a:gd name="adj1" fmla="val 2208"/>
                            <a:gd name="adj2" fmla="val 306454"/>
                            <a:gd name="adj3" fmla="val 16667"/>
                          </a:avLst>
                        </a:prstGeom>
                        <a:solidFill>
                          <a:srgbClr val="EAEAEA"/>
                        </a:solidFill>
                        <a:ln w="9525">
                          <a:solidFill>
                            <a:sysClr val="windowText" lastClr="000000"/>
                          </a:solidFill>
                          <a:miter/>
                        </a:ln>
                      </wps:spPr>
                      <wps:txbx>
                        <w:txbxContent>
                          <w:p>
                            <w:pPr>
                              <w:pStyle w:val="0"/>
                              <w:rPr>
                                <w:rFonts w:hint="default" w:eastAsia="ＭＳ ゴシック"/>
                                <w:sz w:val="20"/>
                              </w:rPr>
                            </w:pPr>
                            <w:r>
                              <w:rPr>
                                <w:rFonts w:hint="eastAsia" w:eastAsia="ＭＳ ゴシック"/>
                                <w:spacing w:val="-10"/>
                                <w:sz w:val="20"/>
                              </w:rPr>
                              <w:t>１５条施設の施設種類を記入する。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5pt;mso-position-vertical-relative:text;mso-position-horizontal-relative:text;position:absolute;height:46.5pt;width:104.2pt;margin-left:9.85pt;z-index:5;" o:spid="_x0000_s1028" o:allowincell="t" o:allowoverlap="t" filled="t" fillcolor="#eaeaea" stroked="t" strokecolor="#000000" strokeweight="0.75pt" o:spt="62" type="#_x0000_t62" adj="11277,76994">
                <v:fill/>
                <v:stroke filltype="solid"/>
                <v:textbox style="layout-flow:horizontal;">
                  <w:txbxContent>
                    <w:p>
                      <w:pPr>
                        <w:pStyle w:val="0"/>
                        <w:rPr>
                          <w:rFonts w:hint="default" w:eastAsia="ＭＳ ゴシック"/>
                          <w:sz w:val="20"/>
                        </w:rPr>
                      </w:pPr>
                      <w:r>
                        <w:rPr>
                          <w:rFonts w:hint="eastAsia" w:eastAsia="ＭＳ ゴシック"/>
                          <w:spacing w:val="-10"/>
                          <w:sz w:val="20"/>
                        </w:rPr>
                        <w:t>１５条施設の施設種類を記入する。</w:t>
                      </w:r>
                    </w:p>
                  </w:txbxContent>
                </v:textbox>
                <v:imagedata o:title=""/>
                <w10:wrap type="none" anchorx="text" anchory="text"/>
              </v:shape>
            </w:pict>
          </mc:Fallback>
        </mc:AlternateContent>
      </w:r>
      <w:r>
        <w:rPr>
          <w:rFonts w:hint="eastAsia"/>
        </w:rPr>
        <w:t>　　　　　　　　　　　　　　　　　　　　　　　　　　　　　　　　　　　　　　　　　　　　　　　　氏　名　　</w:t>
      </w:r>
      <w:r>
        <w:rPr>
          <w:rFonts w:hint="eastAsia" w:ascii="ＭＳ ゴシック" w:hAnsi="ＭＳ ゴシック" w:eastAsia="ＭＳ ゴシック"/>
          <w:b w:val="1"/>
          <w:i w:val="1"/>
        </w:rPr>
        <w:t>㈱ながの　代表取締役　×××</w:t>
      </w:r>
    </w:p>
    <w:p>
      <w:pPr>
        <w:pStyle w:val="0"/>
        <w:autoSpaceDE w:val="0"/>
        <w:autoSpaceDN w:val="0"/>
        <w:spacing w:line="400" w:lineRule="exact"/>
        <w:ind w:right="896"/>
        <w:rPr>
          <w:rFonts w:hint="default"/>
        </w:rPr>
      </w:pPr>
      <w:r>
        <w:rPr>
          <w:rFonts w:hint="eastAsia"/>
        </w:rPr>
        <mc:AlternateContent>
          <mc:Choice Requires="wps">
            <w:drawing>
              <wp:anchor simplePos="0" relativeHeight="6" behindDoc="0" locked="0" layoutInCell="1" hidden="0" allowOverlap="1">
                <wp:simplePos x="0" y="0"/>
                <wp:positionH relativeFrom="column">
                  <wp:posOffset>1626235</wp:posOffset>
                </wp:positionH>
                <wp:positionV relativeFrom="paragraph">
                  <wp:posOffset>31750</wp:posOffset>
                </wp:positionV>
                <wp:extent cx="1341120" cy="609600"/>
                <wp:effectExtent l="635" t="635" r="29845" b="121666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341120" cy="609600"/>
                        </a:xfrm>
                        <a:prstGeom prst="wedgeRoundRectCallout">
                          <a:avLst>
                            <a:gd name="adj1" fmla="val -40907"/>
                            <a:gd name="adj2" fmla="val 247500"/>
                            <a:gd name="adj3" fmla="val 16667"/>
                          </a:avLst>
                        </a:prstGeom>
                        <a:solidFill>
                          <a:srgbClr val="EAEAEA"/>
                        </a:solidFill>
                        <a:ln w="9525">
                          <a:solidFill>
                            <a:sysClr val="windowText" lastClr="000000"/>
                          </a:solidFill>
                          <a:miter/>
                        </a:ln>
                      </wps:spPr>
                      <wps:txbx>
                        <w:txbxContent>
                          <w:p>
                            <w:pPr>
                              <w:pStyle w:val="20"/>
                              <w:rPr>
                                <w:rFonts w:hint="default"/>
                              </w:rPr>
                            </w:pPr>
                            <w:r>
                              <w:rPr>
                                <w:rFonts w:hint="eastAsia"/>
                              </w:rPr>
                              <w:t>処分した廃棄物の種類を記入する。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5pt;mso-position-vertical-relative:text;mso-position-horizontal-relative:text;position:absolute;height:48pt;width:105.6pt;margin-left:128.05000000000001pt;z-index:6;" o:spid="_x0000_s1029" o:allowincell="t" o:allowoverlap="t" filled="t" fillcolor="#eaeaea" stroked="t" strokecolor="#000000" strokeweight="0.75pt" o:spt="62" type="#_x0000_t62" adj="1964,64260">
                <v:fill/>
                <v:stroke filltype="solid"/>
                <v:textbox style="layout-flow:horizontal;">
                  <w:txbxContent>
                    <w:p>
                      <w:pPr>
                        <w:pStyle w:val="20"/>
                        <w:rPr>
                          <w:rFonts w:hint="default"/>
                        </w:rPr>
                      </w:pPr>
                      <w:r>
                        <w:rPr>
                          <w:rFonts w:hint="eastAsia"/>
                        </w:rPr>
                        <w:t>処分した廃棄物の種類を記入する。</w:t>
                      </w: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6379845</wp:posOffset>
                </wp:positionH>
                <wp:positionV relativeFrom="paragraph">
                  <wp:posOffset>222250</wp:posOffset>
                </wp:positionV>
                <wp:extent cx="2501900" cy="476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501900" cy="476250"/>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7.5pt;mso-position-vertical-relative:text;mso-position-horizontal-relative:text;position:absolute;height:37.5pt;width:197pt;margin-left:502.35pt;z-index:2;" o:spid="_x0000_s1030"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rPr>
        <w:t>　　　　　　　　　　　　　　　　　　　　　　　　　　　　　　　　　　　　　　　　　　　　　　　　連絡先（電話）　　</w:t>
      </w:r>
      <w:r>
        <w:rPr>
          <w:rFonts w:hint="eastAsia" w:ascii="ＭＳ ゴシック" w:hAnsi="ＭＳ ゴシック" w:eastAsia="ＭＳ ゴシック"/>
          <w:b w:val="1"/>
          <w:i w:val="1"/>
        </w:rPr>
        <w:t>０２６－×××－××××</w:t>
      </w:r>
    </w:p>
    <w:p>
      <w:pPr>
        <w:pStyle w:val="0"/>
        <w:autoSpaceDE w:val="0"/>
        <w:autoSpaceDN w:val="0"/>
        <w:jc w:val="left"/>
        <w:rPr>
          <w:rFonts w:hint="eastAsia"/>
        </w:rPr>
      </w:pPr>
      <w:r>
        <w:rPr>
          <w:rFonts w:hint="eastAsia"/>
        </w:rPr>
        <w:t>　　　　　　　　　　　　　　　　　　　　　　　　　　　　　　　　　　　　　　　　　　　　　　　　　　　　</w:t>
      </w:r>
      <w:r>
        <w:rPr>
          <w:rFonts w:hint="eastAsia"/>
        </w:rPr>
        <w:t xml:space="preserve"> </w:t>
      </w:r>
      <w:r>
        <w:rPr>
          <w:rFonts w:hint="eastAsia"/>
          <w:spacing w:val="7"/>
          <w:kern w:val="0"/>
          <w:fitText w:val="3360" w:id="1"/>
        </w:rPr>
        <w:t>法人にあっては、主たる事務所の</w:t>
      </w:r>
    </w:p>
    <w:p>
      <w:pPr>
        <w:pStyle w:val="0"/>
        <w:topLinePunct w:val="1"/>
        <w:autoSpaceDE w:val="0"/>
        <w:autoSpaceDN w:val="0"/>
        <w:ind w:right="36"/>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w:t>
      </w:r>
      <w:r>
        <w:rPr>
          <w:rFonts w:hint="eastAsia"/>
          <w:i w:val="1"/>
        </w:rPr>
        <w:t>令和○○</w:t>
      </w:r>
      <w:r>
        <w:rPr>
          <w:rFonts w:hint="eastAsia"/>
        </w:rPr>
        <w:t>年度の産業廃棄物の処分実績及び施設について、長野市廃棄物の適正な処理の確保に関する条例第</w:t>
      </w:r>
      <w:r>
        <w:rPr>
          <w:rFonts w:hint="eastAsia"/>
        </w:rPr>
        <w:t>78</w:t>
      </w:r>
      <w:r>
        <w:rPr>
          <w:rFonts w:hint="eastAsia"/>
        </w:rPr>
        <w:t>条第２項の規定により報告します。</w:t>
      </w:r>
    </w:p>
    <w:p>
      <w:pPr>
        <w:pStyle w:val="0"/>
        <w:autoSpaceDE w:val="0"/>
        <w:autoSpaceDN w:val="0"/>
        <w:jc w:val="left"/>
        <w:rPr>
          <w:rFonts w:hint="eastAsia"/>
          <w:sz w:val="16"/>
        </w:rPr>
      </w:pPr>
    </w:p>
    <w:tbl>
      <w:tblPr>
        <w:tblStyle w:val="11"/>
        <w:tblW w:w="151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40"/>
        <w:gridCol w:w="1410"/>
        <w:gridCol w:w="1411"/>
        <w:gridCol w:w="1411"/>
        <w:gridCol w:w="1411"/>
        <w:gridCol w:w="1379"/>
        <w:gridCol w:w="440"/>
        <w:gridCol w:w="939"/>
        <w:gridCol w:w="889"/>
        <w:gridCol w:w="884"/>
        <w:gridCol w:w="1379"/>
        <w:gridCol w:w="1576"/>
      </w:tblGrid>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事業場の所在地</w:t>
            </w:r>
          </w:p>
        </w:tc>
        <w:tc>
          <w:tcPr>
            <w:tcW w:w="74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rPr>
            </w:pPr>
          </w:p>
        </w:tc>
        <w:tc>
          <w:tcPr>
            <w:tcW w:w="18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事業場の電話番号</w:t>
            </w:r>
          </w:p>
        </w:tc>
        <w:tc>
          <w:tcPr>
            <w:tcW w:w="38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rHeight w:val="685" w:hRule="atLeast"/>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産業廃棄物処理施設の種類及び許可番号</w:t>
            </w:r>
          </w:p>
        </w:tc>
        <w:tc>
          <w:tcPr>
            <w:tcW w:w="56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処分した産業廃棄物の種類及び年間の処分量（ｔ）</w:t>
            </w:r>
          </w:p>
        </w:tc>
        <w:tc>
          <w:tcPr>
            <w:tcW w:w="591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処分後の産業廃棄物の処分量（ｔ）</w:t>
            </w:r>
          </w:p>
        </w:tc>
        <w:tc>
          <w:tcPr>
            <w:tcW w:w="15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最終処分場の残存容量</w:t>
            </w:r>
            <w:r>
              <w:rPr>
                <w:rFonts w:hint="eastAsia"/>
                <w:sz w:val="20"/>
              </w:rPr>
              <w:t>（㎥）</w:t>
            </w:r>
          </w:p>
        </w:tc>
      </w:tr>
      <w:tr>
        <w:trPr/>
        <w:tc>
          <w:tcPr>
            <w:tcW w:w="20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r>
              <w:rPr>
                <w:rFonts w:hint="eastAsia"/>
              </w:rPr>
              <w:t xml:space="preserve"> </w:t>
            </w:r>
            <w:r>
              <w:rPr>
                <w:rFonts w:hint="eastAsia" w:eastAsia="ＭＳ ゴシック"/>
                <w:b w:val="1"/>
                <w:i w:val="1"/>
              </w:rPr>
              <w:t>廃プラ</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mc:AlternateContent>
                <mc:Choice Requires="wps">
                  <w:drawing>
                    <wp:anchor simplePos="0" relativeHeight="7" behindDoc="0" locked="0" layoutInCell="1" hidden="0" allowOverlap="1">
                      <wp:simplePos x="0" y="0"/>
                      <wp:positionH relativeFrom="column">
                        <wp:posOffset>433070</wp:posOffset>
                      </wp:positionH>
                      <wp:positionV relativeFrom="paragraph">
                        <wp:posOffset>2276475</wp:posOffset>
                      </wp:positionV>
                      <wp:extent cx="2922270" cy="784860"/>
                      <wp:effectExtent l="635" t="2143760"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922270" cy="784860"/>
                              </a:xfrm>
                              <a:prstGeom prst="wedgeRoundRectCallout">
                                <a:avLst>
                                  <a:gd name="adj1" fmla="val -42611"/>
                                  <a:gd name="adj2" fmla="val -322815"/>
                                  <a:gd name="adj3" fmla="val 16667"/>
                                </a:avLst>
                              </a:prstGeom>
                              <a:solidFill>
                                <a:srgbClr val="EAEAEA"/>
                              </a:solidFill>
                              <a:ln w="9525">
                                <a:solidFill>
                                  <a:sysClr val="windowText" lastClr="000000"/>
                                </a:solidFill>
                                <a:miter/>
                              </a:ln>
                            </wps:spPr>
                            <wps:txbx>
                              <w:txbxContent>
                                <w:p>
                                  <w:pPr>
                                    <w:pStyle w:val="0"/>
                                    <w:rPr>
                                      <w:rFonts w:hint="default"/>
                                    </w:rPr>
                                  </w:pPr>
                                  <w:r>
                                    <w:rPr>
                                      <w:rFonts w:hint="eastAsia" w:eastAsia="ＭＳ ゴシック"/>
                                      <w:sz w:val="20"/>
                                    </w:rPr>
                                    <w:t>汚泥は有機・無機別に、特管廃油は引火性・特定有害別に、特管廃酸・廃アルカリは腐食性・特定有害別に区分する</w:t>
                                  </w:r>
                                  <w:r>
                                    <w:rPr>
                                      <w:rFonts w:hint="eastAsia"/>
                                    </w:rPr>
                                    <w:t>。</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79.25pt;mso-position-vertical-relative:text;mso-position-horizontal-relative:text;position:absolute;height:61.8pt;width:230.1pt;margin-left:34.1pt;z-index:7;" o:spid="_x0000_s1031" o:allowincell="t" o:allowoverlap="t" filled="t" fillcolor="#eaeaea" stroked="t" strokecolor="#000000" strokeweight="0.75pt" o:spt="62" type="#_x0000_t62" adj="1596,-58928">
                      <v:fill/>
                      <v:stroke filltype="solid"/>
                      <v:textbox style="layout-flow:horizontal;">
                        <w:txbxContent>
                          <w:p>
                            <w:pPr>
                              <w:pStyle w:val="0"/>
                              <w:rPr>
                                <w:rFonts w:hint="default"/>
                              </w:rPr>
                            </w:pPr>
                            <w:r>
                              <w:rPr>
                                <w:rFonts w:hint="eastAsia" w:eastAsia="ＭＳ ゴシック"/>
                                <w:sz w:val="20"/>
                              </w:rPr>
                              <w:t>汚泥は有機・無機別に、特管廃油は引火性・特定有害別に、特管廃酸・廃アルカリは腐食性・特定有害別に区分する</w:t>
                            </w:r>
                            <w:r>
                              <w:rPr>
                                <w:rFonts w:hint="eastAsia"/>
                              </w:rPr>
                              <w:t>。</w:t>
                            </w:r>
                          </w:p>
                        </w:txbxContent>
                      </v:textbox>
                      <v:imagedata o:title=""/>
                      <w10:wrap type="none" anchorx="text" anchory="text"/>
                    </v:shape>
                  </w:pict>
                </mc:Fallback>
              </mc:AlternateContent>
            </w:r>
            <w:r>
              <w:rPr>
                <w:rFonts w:hint="eastAsia"/>
              </w:rPr>
              <w:t>Ａ</w:t>
            </w:r>
            <w:r>
              <w:rPr>
                <w:rFonts w:hint="eastAsia"/>
              </w:rPr>
              <w:t xml:space="preserve"> </w:t>
            </w:r>
            <w:r>
              <w:rPr>
                <w:rFonts w:hint="eastAsia" w:eastAsia="ＭＳ ゴシック"/>
                <w:b w:val="1"/>
                <w:i w:val="1"/>
              </w:rPr>
              <w:t>木くず</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r>
              <w:rPr>
                <w:rFonts w:hint="eastAsia"/>
              </w:rPr>
              <w:t xml:space="preserve"> </w:t>
            </w:r>
            <w:r>
              <w:rPr>
                <w:rFonts w:hint="eastAsia" w:eastAsia="ＭＳ ゴシック"/>
                <w:b w:val="1"/>
                <w:i w:val="1"/>
              </w:rPr>
              <w:t>有機汚泥</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3" w:firstLine="3"/>
              <w:jc w:val="left"/>
              <w:rPr>
                <w:rFonts w:hint="eastAsia"/>
              </w:rPr>
            </w:pPr>
            <w:r>
              <w:rPr>
                <w:rFonts w:hint="eastAsia"/>
              </w:rPr>
              <w:t>Ａ</w:t>
            </w:r>
            <w:r>
              <w:rPr>
                <w:rFonts w:hint="eastAsia"/>
              </w:rPr>
              <w:t xml:space="preserve"> </w:t>
            </w:r>
            <w:r>
              <w:rPr>
                <w:rFonts w:hint="eastAsia" w:eastAsia="ＭＳ ゴシック"/>
                <w:b w:val="1"/>
                <w:i w:val="1"/>
              </w:rPr>
              <w:t>がれき類</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種類</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排出量</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処分方法</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処分量</w:t>
            </w:r>
          </w:p>
        </w:tc>
        <w:tc>
          <w:tcPr>
            <w:tcW w:w="15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rHeight w:val="649"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pacing w:val="-10"/>
                <w:sz w:val="20"/>
              </w:rPr>
              <w:t>廃プラの破砕施設</w:t>
            </w: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２００ｔ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１</w:t>
            </w:r>
            <w:r>
              <w:rPr>
                <w:rFonts w:hint="eastAsia" w:eastAsia="ＭＳ ゴシック"/>
                <w:b w:val="1"/>
                <w:i w:val="1"/>
                <w:spacing w:val="-24"/>
              </w:rPr>
              <w:t>,</w:t>
            </w:r>
            <w:r>
              <w:rPr>
                <w:rFonts w:hint="eastAsia" w:eastAsia="ＭＳ ゴシック"/>
                <w:b w:val="1"/>
                <w:i w:val="1"/>
                <w:spacing w:val="-24"/>
              </w:rPr>
              <w:t>２００ｔ</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rPr>
              <w:t>廃プラ</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２００ｔ</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安定型</w:t>
            </w:r>
            <w:r>
              <w:rPr>
                <w:rFonts w:hint="eastAsia" w:eastAsia="ＭＳ ゴシック"/>
                <w:b w:val="1"/>
                <w:i w:val="1"/>
                <w:sz w:val="20"/>
              </w:rPr>
              <w:t xml:space="preserve"> </w:t>
            </w:r>
            <w:r>
              <w:rPr>
                <w:rFonts w:hint="eastAsia" w:eastAsia="ＭＳ ゴシック"/>
                <w:b w:val="1"/>
                <w:i w:val="1"/>
                <w:sz w:val="20"/>
              </w:rPr>
              <w:t>最終処分</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２００ｔ</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4,450</w:t>
            </w:r>
            <w:r>
              <w:rPr>
                <w:rFonts w:hint="eastAsia" w:ascii="ＭＳ ゴシック" w:hAnsi="ＭＳ ゴシック" w:eastAsia="ＭＳ ゴシック"/>
                <w:b w:val="1"/>
                <w:i w:val="1"/>
              </w:rPr>
              <w:t>㎥</w:t>
            </w:r>
          </w:p>
        </w:tc>
      </w:tr>
      <w:tr>
        <w:trPr>
          <w:trHeight w:val="596"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rPr>
              <w:t>焼却施設</w:t>
            </w: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３００ｔ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５００ｔ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topLinePunct w:val="1"/>
              <w:autoSpaceDE w:val="0"/>
              <w:autoSpaceDN w:val="0"/>
              <w:snapToGrid w:val="1"/>
              <w:spacing w:line="192" w:lineRule="auto"/>
              <w:rPr>
                <w:rFonts w:hint="eastAsia" w:eastAsia="ＭＳ ゴシック"/>
                <w:b w:val="1"/>
                <w:i w:val="1"/>
                <w:sz w:val="20"/>
              </w:rPr>
            </w:pPr>
            <w:r>
              <w:rPr>
                <w:rFonts w:hint="eastAsia" w:eastAsia="ＭＳ ゴシック"/>
                <w:b w:val="1"/>
                <w:i w:val="1"/>
                <w:sz w:val="20"/>
              </w:rPr>
              <w:t>有機汚泥</w:t>
            </w:r>
          </w:p>
          <w:p>
            <w:pPr>
              <w:pStyle w:val="0"/>
              <w:autoSpaceDE w:val="0"/>
              <w:autoSpaceDN w:val="0"/>
              <w:rPr>
                <w:rFonts w:hint="eastAsia"/>
                <w:sz w:val="16"/>
              </w:rPr>
            </w:pPr>
            <w:r>
              <w:rPr>
                <w:rFonts w:hint="eastAsia" w:eastAsia="ＭＳ ゴシック"/>
                <w:b w:val="1"/>
                <w:i w:val="1"/>
                <w:sz w:val="16"/>
              </w:rPr>
              <w:t>（脱水ケーキ）</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５０ｔ</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堆肥化</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３０ｔ</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r>
      <w:tr>
        <w:trPr>
          <w:trHeight w:val="595"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汚泥の脱水施設</w:t>
            </w: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r>
              <w:rPr>
                <w:rFonts w:hint="eastAsia" w:eastAsia="ＭＳ ゴシック"/>
                <w:b w:val="1"/>
                <w:i w:val="1"/>
                <w:spacing w:val="-24"/>
              </w:rPr>
              <w:t>５００ｔ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焼却</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２０ｔ</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r>
      <w:tr>
        <w:trPr>
          <w:trHeight w:val="580"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rPr>
              <w:t>燃え殻</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８０ｔ</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管理型</w:t>
            </w:r>
            <w:r>
              <w:rPr>
                <w:rFonts w:hint="eastAsia" w:eastAsia="ＭＳ ゴシック"/>
                <w:b w:val="1"/>
                <w:i w:val="1"/>
                <w:sz w:val="20"/>
              </w:rPr>
              <w:t xml:space="preserve"> </w:t>
            </w:r>
            <w:r>
              <w:rPr>
                <w:rFonts w:hint="eastAsia" w:eastAsia="ＭＳ ゴシック"/>
                <w:b w:val="1"/>
                <w:i w:val="1"/>
                <w:sz w:val="20"/>
              </w:rPr>
              <w:t>最終処分</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８０ｔ</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ascii="ＭＳ ゴシック" w:hAnsi="ＭＳ ゴシック" w:eastAsia="ＭＳ ゴシック"/>
                <w:b w:val="1"/>
                <w:i w:val="1"/>
              </w:rPr>
            </w:pPr>
            <w:r>
              <w:rPr>
                <w:rFonts w:hint="eastAsia" w:ascii="ＭＳ ゴシック" w:hAnsi="ＭＳ ゴシック" w:eastAsia="ＭＳ ゴシック"/>
                <w:b w:val="1"/>
                <w:i w:val="1"/>
              </w:rPr>
              <w:t>2,500</w:t>
            </w:r>
            <w:r>
              <w:rPr>
                <w:rFonts w:hint="eastAsia" w:ascii="ＭＳ ゴシック" w:hAnsi="ＭＳ ゴシック" w:eastAsia="ＭＳ ゴシック"/>
                <w:b w:val="1"/>
                <w:i w:val="1"/>
              </w:rPr>
              <w:t>㎥</w:t>
            </w:r>
          </w:p>
        </w:tc>
      </w:tr>
      <w:tr>
        <w:trPr>
          <w:trHeight w:val="670"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合　　　計</w:t>
            </w: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５００ｔ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５００ｔ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５００ｔ</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eastAsia="ＭＳ ゴシック"/>
                <w:b w:val="1"/>
                <w:i w:val="1"/>
                <w:spacing w:val="-24"/>
              </w:rPr>
              <w:t>１</w:t>
            </w:r>
            <w:r>
              <w:rPr>
                <w:rFonts w:hint="eastAsia" w:eastAsia="ＭＳ ゴシック"/>
                <w:b w:val="1"/>
                <w:i w:val="1"/>
                <w:spacing w:val="-24"/>
              </w:rPr>
              <w:t>,</w:t>
            </w:r>
            <w:r>
              <w:rPr>
                <w:rFonts w:hint="eastAsia" w:eastAsia="ＭＳ ゴシック"/>
                <w:b w:val="1"/>
                <w:i w:val="1"/>
                <w:spacing w:val="-24"/>
              </w:rPr>
              <w:t>２００ｔ</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eastAsia="ＭＳ ゴシック"/>
                <w:b w:val="1"/>
                <w:i w:val="1"/>
              </w:rPr>
              <w:t>破砕がれき</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eastAsia="ＭＳ ゴシック"/>
                <w:b w:val="1"/>
                <w:i w:val="1"/>
                <w:spacing w:val="-24"/>
              </w:rPr>
              <w:t>１</w:t>
            </w:r>
            <w:r>
              <w:rPr>
                <w:rFonts w:hint="eastAsia" w:eastAsia="ＭＳ ゴシック"/>
                <w:b w:val="1"/>
                <w:i w:val="1"/>
                <w:spacing w:val="-24"/>
              </w:rPr>
              <w:t>,</w:t>
            </w:r>
            <w:r>
              <w:rPr>
                <w:rFonts w:hint="eastAsia" w:eastAsia="ＭＳ ゴシック"/>
                <w:b w:val="1"/>
                <w:i w:val="1"/>
                <w:spacing w:val="-24"/>
              </w:rPr>
              <w:t>２００ｔ</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eastAsia="ＭＳ ゴシック"/>
                <w:b w:val="1"/>
                <w:i w:val="1"/>
                <w:sz w:val="20"/>
              </w:rPr>
              <w:t>有価販売</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p>
        </w:tc>
      </w:tr>
    </w:tbl>
    <w:p>
      <w:pPr>
        <w:pStyle w:val="0"/>
        <w:autoSpaceDE w:val="0"/>
        <w:autoSpaceDN w:val="0"/>
        <w:jc w:val="left"/>
        <w:rPr>
          <w:rFonts w:hint="eastAsia"/>
        </w:rPr>
      </w:pPr>
      <w:r>
        <w:rPr>
          <w:rFonts w:hint="eastAsia"/>
          <w:kern w:val="21"/>
        </w:rPr>
        <w:t>　</w:t>
      </w:r>
      <w:r>
        <w:rPr>
          <w:rFonts w:hint="eastAsia"/>
        </w:rPr>
        <w:t>備考</w:t>
      </w:r>
    </w:p>
    <w:p>
      <w:pPr>
        <w:pStyle w:val="0"/>
        <w:autoSpaceDE w:val="0"/>
        <w:autoSpaceDN w:val="0"/>
        <w:jc w:val="left"/>
        <w:rPr>
          <w:rFonts w:hint="eastAsia"/>
        </w:rPr>
      </w:pPr>
      <w:r>
        <w:rPr>
          <w:rFonts w:hint="eastAsia"/>
        </w:rPr>
        <w:t>　　１　処分量及び排出量は、すべてトンに換算して記載すること。</w:t>
      </w:r>
    </w:p>
    <w:p>
      <w:pPr>
        <w:pStyle w:val="0"/>
        <w:autoSpaceDE w:val="0"/>
        <w:autoSpaceDN w:val="0"/>
        <w:jc w:val="left"/>
        <w:rPr>
          <w:rFonts w:hint="eastAsia"/>
        </w:rPr>
      </w:pPr>
      <w:r>
        <w:rPr>
          <w:rFonts w:hint="eastAsia"/>
        </w:rPr>
        <w:t>　　２　処分した産業廃棄物の種類をＡ欄に記入し、それぞれの種類ごとに年間の処分量を記入すること。</w:t>
      </w:r>
    </w:p>
    <w:p>
      <w:pPr>
        <w:pStyle w:val="0"/>
        <w:autoSpaceDE w:val="0"/>
        <w:autoSpaceDN w:val="0"/>
        <w:jc w:val="left"/>
        <w:rPr>
          <w:rFonts w:hint="eastAsia"/>
          <w:kern w:val="21"/>
        </w:rPr>
      </w:pPr>
      <w:r>
        <w:rPr>
          <w:rFonts w:hint="eastAsia"/>
        </w:rPr>
        <w:t>　　３　記載事項のすべてを記載できないときは、この様式の例により作成した書面に記載して、その書面を添付すること。</w:t>
      </w:r>
    </w:p>
    <w:sectPr>
      <w:footerReference r:id="rId5" w:type="even"/>
      <w:pgSz w:w="16838" w:h="11906" w:orient="landscape"/>
      <w:pgMar w:top="1134" w:right="851" w:bottom="567" w:left="851" w:header="851" w:footer="567" w:gutter="0"/>
      <w:cols w:space="720"/>
      <w:textDirection w:val="lrTb"/>
      <w:docGrid w:type="linesAndChars" w:linePitch="300" w:charSpace="-27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7"/>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paragraph" w:styleId="20">
    <w:name w:val="Body Text"/>
    <w:basedOn w:val="0"/>
    <w:next w:val="20"/>
    <w:link w:val="0"/>
    <w:uiPriority w:val="0"/>
    <w:rPr>
      <w:rFonts w:ascii="Century" w:hAnsi="Century" w:eastAsia="ＭＳ ゴシック"/>
      <w:spacing w:val="-10"/>
      <w:sz w:val="2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5</Words>
  <Characters>565</Characters>
  <Application>JUST Note</Application>
  <Lines>120</Lines>
  <Paragraphs>55</Paragraphs>
  <Company>長野市役所</Company>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2011-04-26T04:06:00Z</cp:lastPrinted>
  <dcterms:created xsi:type="dcterms:W3CDTF">2021-04-08T02:34:00Z</dcterms:created>
  <dcterms:modified xsi:type="dcterms:W3CDTF">2021-04-08T02:43:45Z</dcterms:modified>
  <cp:revision>4</cp:revision>
</cp:coreProperties>
</file>